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334" w:rsidRPr="00F47334" w:rsidRDefault="00F47334" w:rsidP="00F47334">
      <w:pPr>
        <w:pStyle w:val="Standard"/>
        <w:jc w:val="center"/>
        <w:rPr>
          <w:rFonts w:cs="Times New Roman"/>
          <w:b/>
          <w:bCs/>
        </w:rPr>
      </w:pPr>
      <w:r w:rsidRPr="00F47334">
        <w:rPr>
          <w:rFonts w:cs="Times New Roman"/>
          <w:b/>
          <w:bCs/>
        </w:rPr>
        <w:t>MINUTA</w:t>
      </w:r>
      <w:r w:rsidR="006A5C02">
        <w:rPr>
          <w:rFonts w:cs="Times New Roman"/>
          <w:b/>
          <w:bCs/>
        </w:rPr>
        <w:t xml:space="preserve"> DE </w:t>
      </w:r>
      <w:r w:rsidRPr="00F47334">
        <w:rPr>
          <w:rFonts w:cs="Times New Roman"/>
          <w:b/>
          <w:bCs/>
        </w:rPr>
        <w:t xml:space="preserve">DELIBERAÇÃO Nº XXX/2019 </w:t>
      </w:r>
    </w:p>
    <w:p w:rsidR="00F47334" w:rsidRPr="00813930" w:rsidRDefault="00F47334" w:rsidP="00F47334">
      <w:pPr>
        <w:autoSpaceDE w:val="0"/>
        <w:adjustRightInd w:val="0"/>
        <w:ind w:left="3600"/>
        <w:jc w:val="both"/>
        <w:rPr>
          <w:rFonts w:cs="Times New Roman"/>
        </w:rPr>
      </w:pPr>
    </w:p>
    <w:p w:rsidR="00F47334" w:rsidRDefault="00F47334" w:rsidP="00F47334">
      <w:pPr>
        <w:autoSpaceDE w:val="0"/>
        <w:adjustRightInd w:val="0"/>
        <w:ind w:left="4254"/>
        <w:jc w:val="both"/>
        <w:rPr>
          <w:rFonts w:cs="Times New Roman"/>
        </w:rPr>
      </w:pPr>
      <w:r>
        <w:rPr>
          <w:rFonts w:cs="Times New Roman"/>
        </w:rPr>
        <w:t>Delibera sobre o pedido de vista nas câmaras técnicas</w:t>
      </w:r>
    </w:p>
    <w:p w:rsidR="00F47334" w:rsidRPr="00813930" w:rsidRDefault="00F47334" w:rsidP="00F47334">
      <w:pPr>
        <w:autoSpaceDE w:val="0"/>
        <w:adjustRightInd w:val="0"/>
        <w:jc w:val="both"/>
        <w:rPr>
          <w:rFonts w:cs="Times New Roman"/>
        </w:rPr>
      </w:pPr>
    </w:p>
    <w:p w:rsidR="00B50C1D" w:rsidRDefault="00B50C1D" w:rsidP="00F47334">
      <w:pPr>
        <w:autoSpaceDE w:val="0"/>
        <w:ind w:left="-142"/>
        <w:jc w:val="both"/>
        <w:rPr>
          <w:rFonts w:cs="Times New Roman"/>
        </w:rPr>
      </w:pPr>
    </w:p>
    <w:p w:rsidR="00F47334" w:rsidRPr="00B50C1D" w:rsidRDefault="00F47334" w:rsidP="00F47334">
      <w:pPr>
        <w:autoSpaceDE w:val="0"/>
        <w:ind w:left="-142"/>
        <w:jc w:val="both"/>
        <w:rPr>
          <w:rFonts w:cs="Times New Roman"/>
        </w:rPr>
      </w:pPr>
      <w:r w:rsidRPr="00B50C1D">
        <w:rPr>
          <w:rFonts w:cs="Times New Roman"/>
        </w:rPr>
        <w:t xml:space="preserve">O Comitê da Bacia Hidrográfica do </w:t>
      </w:r>
      <w:r w:rsidRPr="00B50C1D">
        <w:rPr>
          <w:rFonts w:cs="Times New Roman"/>
        </w:rPr>
        <w:t>Araguari</w:t>
      </w:r>
      <w:r w:rsidRPr="00B50C1D">
        <w:rPr>
          <w:rFonts w:cs="Times New Roman"/>
        </w:rPr>
        <w:t xml:space="preserve"> – CBH </w:t>
      </w:r>
      <w:r w:rsidRPr="00B50C1D">
        <w:rPr>
          <w:rFonts w:cs="Times New Roman"/>
        </w:rPr>
        <w:t>Araguari</w:t>
      </w:r>
      <w:r w:rsidRPr="00B50C1D">
        <w:rPr>
          <w:rFonts w:cs="Times New Roman"/>
        </w:rPr>
        <w:t>, integrante do Sistema Nacional de Gerenciamento de Recursos Hídricos e vinculado ao Conselho Nacional de Recursos Hídricos</w:t>
      </w:r>
      <w:r w:rsidR="00B50C1D" w:rsidRPr="00B50C1D">
        <w:rPr>
          <w:rFonts w:cs="Times New Roman"/>
        </w:rPr>
        <w:t>,</w:t>
      </w:r>
      <w:r w:rsidR="00B50C1D" w:rsidRPr="00B50C1D">
        <w:rPr>
          <w:rFonts w:cs="Times New Roman"/>
          <w:color w:val="373435"/>
          <w:shd w:val="clear" w:color="auto" w:fill="FFFFFF"/>
        </w:rPr>
        <w:t xml:space="preserve"> instituído pelo Decreto 39.912, de 22 de setembro de 1998, criado com a finalidade de promover, por meio da gestão de recursos hídricos, o desenvolvimento sustentável da bacia hidrográfica do rio Araguari</w:t>
      </w:r>
      <w:r w:rsidRPr="00B50C1D">
        <w:rPr>
          <w:rFonts w:cs="Times New Roman"/>
        </w:rPr>
        <w:t>; e</w:t>
      </w:r>
    </w:p>
    <w:p w:rsidR="00F47334" w:rsidRPr="00813930" w:rsidRDefault="00F47334" w:rsidP="00F47334">
      <w:pPr>
        <w:autoSpaceDE w:val="0"/>
        <w:ind w:left="-142"/>
        <w:jc w:val="both"/>
        <w:rPr>
          <w:rFonts w:cs="Times New Roman"/>
        </w:rPr>
      </w:pPr>
    </w:p>
    <w:p w:rsidR="00B50C1D" w:rsidRPr="00F47334" w:rsidRDefault="00B50C1D" w:rsidP="00B50C1D">
      <w:pPr>
        <w:autoSpaceDE w:val="0"/>
        <w:ind w:left="-142"/>
        <w:jc w:val="both"/>
        <w:rPr>
          <w:rFonts w:cs="Times New Roman"/>
        </w:rPr>
      </w:pPr>
      <w:r>
        <w:rPr>
          <w:rFonts w:cs="Times New Roman"/>
        </w:rPr>
        <w:t xml:space="preserve">Considerando a </w:t>
      </w:r>
      <w:r w:rsidRPr="00F47334">
        <w:rPr>
          <w:rFonts w:cs="Times New Roman"/>
        </w:rPr>
        <w:t xml:space="preserve">Deliberação Normativa nº 17, de 28 de junho de 2017, </w:t>
      </w:r>
      <w:r>
        <w:rPr>
          <w:rFonts w:cs="Times New Roman"/>
        </w:rPr>
        <w:t>que estabelece o Regimento Interno do Comitê da Bacia Hidrográfica do Rio Araguari;</w:t>
      </w:r>
    </w:p>
    <w:p w:rsidR="00B50C1D" w:rsidRDefault="00B50C1D" w:rsidP="00F47334">
      <w:pPr>
        <w:autoSpaceDE w:val="0"/>
        <w:ind w:left="-142"/>
        <w:jc w:val="both"/>
        <w:rPr>
          <w:rFonts w:cs="Times New Roman"/>
        </w:rPr>
      </w:pPr>
    </w:p>
    <w:p w:rsidR="00F47334" w:rsidRDefault="00F47334" w:rsidP="00F47334">
      <w:pPr>
        <w:ind w:left="-142" w:right="115"/>
        <w:jc w:val="both"/>
      </w:pPr>
      <w:r w:rsidRPr="00813930">
        <w:rPr>
          <w:rFonts w:cs="Times New Roman"/>
        </w:rPr>
        <w:t xml:space="preserve">Considerando </w:t>
      </w:r>
      <w:r>
        <w:rPr>
          <w:rFonts w:cs="Times New Roman"/>
        </w:rPr>
        <w:t xml:space="preserve">que a </w:t>
      </w:r>
      <w:r>
        <w:t>Câmara Técnica de Outorga e Cobrança (CTOC)</w:t>
      </w:r>
      <w:r>
        <w:t xml:space="preserve"> não possu</w:t>
      </w:r>
      <w:r w:rsidR="00B50C1D">
        <w:t>i</w:t>
      </w:r>
      <w:r>
        <w:t xml:space="preserve"> regimento interno próprio</w:t>
      </w:r>
      <w:r w:rsidR="00B50C1D">
        <w:t>;</w:t>
      </w:r>
    </w:p>
    <w:p w:rsidR="00F47334" w:rsidRDefault="00F47334" w:rsidP="00F47334">
      <w:pPr>
        <w:ind w:left="-142" w:right="115"/>
        <w:jc w:val="both"/>
        <w:rPr>
          <w:rFonts w:cs="Times New Roman"/>
        </w:rPr>
      </w:pPr>
    </w:p>
    <w:p w:rsidR="00B50C1D" w:rsidRPr="00F47334" w:rsidRDefault="00B50C1D" w:rsidP="00B50C1D">
      <w:pPr>
        <w:autoSpaceDE w:val="0"/>
        <w:ind w:left="-142"/>
        <w:jc w:val="both"/>
        <w:rPr>
          <w:rFonts w:cs="Times New Roman"/>
        </w:rPr>
      </w:pPr>
      <w:r w:rsidRPr="00F47334">
        <w:rPr>
          <w:rFonts w:cs="Times New Roman"/>
        </w:rPr>
        <w:t>Fundamentado no inciso VI do Art. 10, no Inciso III e §1º do Art. 18 da Deliberação Normativa nº 17, de 28 de junho de 2017</w:t>
      </w:r>
      <w:r>
        <w:rPr>
          <w:rFonts w:cs="Times New Roman"/>
        </w:rPr>
        <w:t>.</w:t>
      </w:r>
    </w:p>
    <w:p w:rsidR="00B50C1D" w:rsidRDefault="00B50C1D" w:rsidP="00F47334">
      <w:pPr>
        <w:ind w:left="-142" w:right="115"/>
        <w:jc w:val="both"/>
        <w:rPr>
          <w:rFonts w:cs="Times New Roman"/>
        </w:rPr>
      </w:pPr>
    </w:p>
    <w:p w:rsidR="006A5C02" w:rsidRPr="00813930" w:rsidRDefault="006A5C02" w:rsidP="00F47334">
      <w:pPr>
        <w:ind w:left="-142" w:right="115"/>
        <w:jc w:val="both"/>
        <w:rPr>
          <w:rFonts w:cs="Times New Roman"/>
        </w:rPr>
      </w:pPr>
    </w:p>
    <w:p w:rsidR="00F47334" w:rsidRPr="00813930" w:rsidRDefault="00F47334" w:rsidP="00F47334">
      <w:pPr>
        <w:autoSpaceDE w:val="0"/>
        <w:ind w:left="-142"/>
        <w:jc w:val="both"/>
        <w:rPr>
          <w:rFonts w:cs="Times New Roman"/>
        </w:rPr>
      </w:pPr>
      <w:r w:rsidRPr="00813930">
        <w:rPr>
          <w:rFonts w:cs="Times New Roman"/>
        </w:rPr>
        <w:t>DELIBERA:</w:t>
      </w:r>
    </w:p>
    <w:p w:rsidR="00F47334" w:rsidRPr="00813930" w:rsidRDefault="00F47334" w:rsidP="00F47334">
      <w:pPr>
        <w:autoSpaceDE w:val="0"/>
        <w:ind w:left="-142"/>
        <w:jc w:val="both"/>
        <w:rPr>
          <w:rFonts w:cs="Times New Roman"/>
        </w:rPr>
      </w:pPr>
    </w:p>
    <w:p w:rsidR="00F47334" w:rsidRDefault="00F47334" w:rsidP="00F47334">
      <w:pPr>
        <w:autoSpaceDE w:val="0"/>
        <w:ind w:left="-142"/>
        <w:jc w:val="both"/>
        <w:rPr>
          <w:rFonts w:cs="Times New Roman"/>
        </w:rPr>
      </w:pPr>
      <w:r w:rsidRPr="00813930">
        <w:rPr>
          <w:rFonts w:cs="Times New Roman"/>
          <w:b/>
        </w:rPr>
        <w:t>Art. 1º</w:t>
      </w:r>
      <w:r w:rsidRPr="00813930">
        <w:rPr>
          <w:rFonts w:cs="Times New Roman"/>
        </w:rPr>
        <w:t xml:space="preserve"> </w:t>
      </w:r>
      <w:r w:rsidR="00A65B30">
        <w:rPr>
          <w:rFonts w:cs="Times New Roman"/>
        </w:rPr>
        <w:t>E</w:t>
      </w:r>
      <w:r w:rsidR="00A65B30">
        <w:rPr>
          <w:rFonts w:cs="Times New Roman"/>
        </w:rPr>
        <w:t xml:space="preserve">m consonância com o disposto no </w:t>
      </w:r>
      <w:r w:rsidR="00A65B30" w:rsidRPr="00F47334">
        <w:rPr>
          <w:rFonts w:cs="Times New Roman"/>
        </w:rPr>
        <w:t>inciso VI do Art. 10</w:t>
      </w:r>
      <w:r w:rsidR="00A65B30">
        <w:rPr>
          <w:rFonts w:cs="Times New Roman"/>
        </w:rPr>
        <w:t xml:space="preserve"> da Deliberação Normativa nº 17, de 28 de junho de 2017</w:t>
      </w:r>
      <w:r w:rsidR="00A65B30">
        <w:rPr>
          <w:rFonts w:cs="Times New Roman"/>
        </w:rPr>
        <w:t>, f</w:t>
      </w:r>
      <w:r>
        <w:rPr>
          <w:rFonts w:cs="Times New Roman"/>
        </w:rPr>
        <w:t xml:space="preserve">ica </w:t>
      </w:r>
      <w:r w:rsidR="006A5C02">
        <w:rPr>
          <w:rFonts w:cs="Times New Roman"/>
        </w:rPr>
        <w:t>aprovado</w:t>
      </w:r>
      <w:r w:rsidRPr="00813930">
        <w:rPr>
          <w:rFonts w:cs="Times New Roman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</w:rPr>
        <w:t xml:space="preserve"> pedido de vista no âmbito das câmaras técnicas</w:t>
      </w:r>
      <w:r w:rsidR="006A5C02">
        <w:rPr>
          <w:rFonts w:cs="Times New Roman"/>
        </w:rPr>
        <w:t>.</w:t>
      </w:r>
    </w:p>
    <w:p w:rsidR="00F47334" w:rsidRPr="00813930" w:rsidRDefault="00F47334" w:rsidP="00F47334">
      <w:pPr>
        <w:autoSpaceDE w:val="0"/>
        <w:ind w:left="-142"/>
        <w:jc w:val="both"/>
        <w:rPr>
          <w:rFonts w:cs="Times New Roman"/>
        </w:rPr>
      </w:pPr>
    </w:p>
    <w:p w:rsidR="00F47334" w:rsidRPr="00813930" w:rsidRDefault="00F47334" w:rsidP="00F47334">
      <w:pPr>
        <w:autoSpaceDE w:val="0"/>
        <w:ind w:left="-142"/>
        <w:jc w:val="both"/>
        <w:rPr>
          <w:rFonts w:cs="Times New Roman"/>
        </w:rPr>
      </w:pPr>
    </w:p>
    <w:p w:rsidR="00F47334" w:rsidRPr="00813930" w:rsidRDefault="00F47334" w:rsidP="00F47334">
      <w:pPr>
        <w:autoSpaceDE w:val="0"/>
        <w:ind w:left="-142"/>
        <w:jc w:val="both"/>
        <w:rPr>
          <w:rFonts w:cs="Times New Roman"/>
        </w:rPr>
      </w:pPr>
      <w:r w:rsidRPr="00813930">
        <w:rPr>
          <w:rFonts w:cs="Times New Roman"/>
          <w:b/>
        </w:rPr>
        <w:t>Art. 3º</w:t>
      </w:r>
      <w:r w:rsidRPr="00813930">
        <w:rPr>
          <w:rFonts w:cs="Times New Roman"/>
        </w:rPr>
        <w:t xml:space="preserve"> Esta Deliberação entra em vigor na data de sua aprovação.</w:t>
      </w:r>
    </w:p>
    <w:p w:rsidR="00F47334" w:rsidRPr="00813930" w:rsidRDefault="00F47334" w:rsidP="00F47334">
      <w:pPr>
        <w:pStyle w:val="Standard"/>
        <w:tabs>
          <w:tab w:val="left" w:pos="709"/>
          <w:tab w:val="center" w:pos="4677"/>
        </w:tabs>
        <w:rPr>
          <w:rFonts w:cs="Times New Roman"/>
          <w:noProof/>
          <w:lang w:eastAsia="pt-BR" w:bidi="ar-SA"/>
        </w:rPr>
      </w:pPr>
    </w:p>
    <w:p w:rsidR="00F47334" w:rsidRPr="00813930" w:rsidRDefault="00F47334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F47334" w:rsidRDefault="00F47334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F47334" w:rsidRDefault="00F47334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  <w:r>
        <w:rPr>
          <w:rFonts w:eastAsia="Arial" w:cs="Times New Roman"/>
          <w:shd w:val="clear" w:color="auto" w:fill="FFFFFF"/>
        </w:rPr>
        <w:t>Araguari</w:t>
      </w:r>
      <w:r w:rsidRPr="00813930">
        <w:rPr>
          <w:rFonts w:eastAsia="Arial" w:cs="Times New Roman"/>
          <w:shd w:val="clear" w:color="auto" w:fill="FFFFFF"/>
        </w:rPr>
        <w:t xml:space="preserve"> - </w:t>
      </w:r>
      <w:r>
        <w:rPr>
          <w:rFonts w:eastAsia="Arial" w:cs="Times New Roman"/>
          <w:shd w:val="clear" w:color="auto" w:fill="FFFFFF"/>
        </w:rPr>
        <w:t>MG</w:t>
      </w:r>
      <w:r w:rsidRPr="00813930">
        <w:rPr>
          <w:rFonts w:eastAsia="Arial" w:cs="Times New Roman"/>
          <w:shd w:val="clear" w:color="auto" w:fill="FFFFFF"/>
        </w:rPr>
        <w:t xml:space="preserve">, </w:t>
      </w:r>
      <w:r>
        <w:rPr>
          <w:rFonts w:eastAsia="Arial" w:cs="Times New Roman"/>
          <w:shd w:val="clear" w:color="auto" w:fill="FFFFFF"/>
        </w:rPr>
        <w:t>05 de novembro</w:t>
      </w:r>
      <w:r>
        <w:rPr>
          <w:rFonts w:eastAsia="Arial" w:cs="Times New Roman"/>
          <w:shd w:val="clear" w:color="auto" w:fill="FFFFFF"/>
        </w:rPr>
        <w:t xml:space="preserve"> </w:t>
      </w:r>
      <w:r w:rsidRPr="00813930">
        <w:rPr>
          <w:rFonts w:eastAsia="Arial" w:cs="Times New Roman"/>
          <w:shd w:val="clear" w:color="auto" w:fill="FFFFFF"/>
        </w:rPr>
        <w:t>de 2019.</w:t>
      </w:r>
    </w:p>
    <w:p w:rsidR="006A5C02" w:rsidRDefault="006A5C02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B50C1D" w:rsidRDefault="00B50C1D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B50C1D" w:rsidRDefault="00B50C1D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6A5C02" w:rsidRDefault="006A5C02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6A5C02" w:rsidRDefault="006A5C02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6A5C02" w:rsidRDefault="006A5C02" w:rsidP="00F47334">
      <w:pPr>
        <w:pStyle w:val="Standard"/>
        <w:jc w:val="center"/>
        <w:rPr>
          <w:rFonts w:eastAsia="Arial" w:cs="Times New Roman"/>
          <w:shd w:val="clear" w:color="auto" w:fill="FFFFFF"/>
        </w:rPr>
      </w:pPr>
    </w:p>
    <w:p w:rsidR="006A5C02" w:rsidRDefault="006A5C02" w:rsidP="00F47334">
      <w:pPr>
        <w:pStyle w:val="Standard"/>
        <w:jc w:val="center"/>
        <w:rPr>
          <w:rFonts w:eastAsia="Arial" w:cs="Times New Roman"/>
          <w:shd w:val="clear" w:color="auto" w:fill="FFFFFF"/>
        </w:rPr>
        <w:sectPr w:rsidR="006A5C0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A5C02" w:rsidRPr="00B50C1D" w:rsidRDefault="00B50C1D" w:rsidP="006A5C02">
      <w:pPr>
        <w:pStyle w:val="Standard"/>
        <w:jc w:val="center"/>
        <w:rPr>
          <w:rFonts w:eastAsia="Arial" w:cs="Times New Roman"/>
          <w:b/>
          <w:bCs/>
          <w:sz w:val="22"/>
          <w:szCs w:val="22"/>
          <w:shd w:val="clear" w:color="auto" w:fill="FFFFFF"/>
        </w:rPr>
      </w:pPr>
      <w:r w:rsidRPr="00B50C1D">
        <w:rPr>
          <w:rFonts w:eastAsia="Arial" w:cs="Times New Roman"/>
          <w:b/>
          <w:bCs/>
          <w:sz w:val="22"/>
          <w:szCs w:val="22"/>
          <w:shd w:val="clear" w:color="auto" w:fill="FFFFFF"/>
        </w:rPr>
        <w:t>BRUNO GONÇALVES DOS SANTOS</w:t>
      </w:r>
    </w:p>
    <w:p w:rsidR="006A5C02" w:rsidRPr="00B50C1D" w:rsidRDefault="006A5C02" w:rsidP="006A5C02">
      <w:pPr>
        <w:pStyle w:val="Standard"/>
        <w:jc w:val="center"/>
        <w:rPr>
          <w:color w:val="373435"/>
          <w:shd w:val="clear" w:color="auto" w:fill="FFFFFF"/>
        </w:rPr>
      </w:pPr>
      <w:r w:rsidRPr="00B50C1D">
        <w:rPr>
          <w:color w:val="373435"/>
          <w:shd w:val="clear" w:color="auto" w:fill="FFFFFF"/>
        </w:rPr>
        <w:t>President</w:t>
      </w:r>
      <w:r w:rsidR="00B50C1D" w:rsidRPr="00B50C1D">
        <w:rPr>
          <w:color w:val="373435"/>
          <w:shd w:val="clear" w:color="auto" w:fill="FFFFFF"/>
        </w:rPr>
        <w:t>e</w:t>
      </w:r>
      <w:r w:rsidRPr="00B50C1D">
        <w:rPr>
          <w:color w:val="373435"/>
          <w:shd w:val="clear" w:color="auto" w:fill="FFFFFF"/>
        </w:rPr>
        <w:t xml:space="preserve"> do CBH Araguari</w:t>
      </w:r>
    </w:p>
    <w:p w:rsidR="006A5C02" w:rsidRPr="00B50C1D" w:rsidRDefault="006A5C02" w:rsidP="006A5C02">
      <w:pPr>
        <w:pStyle w:val="Standard"/>
        <w:jc w:val="center"/>
        <w:rPr>
          <w:color w:val="373435"/>
          <w:shd w:val="clear" w:color="auto" w:fill="FFFFFF"/>
        </w:rPr>
      </w:pPr>
    </w:p>
    <w:p w:rsidR="00B50C1D" w:rsidRDefault="00B50C1D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</w:p>
    <w:p w:rsidR="00B50C1D" w:rsidRDefault="00B50C1D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</w:p>
    <w:p w:rsidR="001B6D19" w:rsidRPr="00B50C1D" w:rsidRDefault="001B6D19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  <w:bookmarkStart w:id="0" w:name="_GoBack"/>
      <w:bookmarkEnd w:id="0"/>
    </w:p>
    <w:p w:rsidR="006A5C02" w:rsidRPr="00B50C1D" w:rsidRDefault="006A5C02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</w:p>
    <w:p w:rsidR="006A5C02" w:rsidRPr="00B50C1D" w:rsidRDefault="006A5C02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</w:p>
    <w:p w:rsidR="006A5C02" w:rsidRPr="00B50C1D" w:rsidRDefault="006A5C02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</w:p>
    <w:p w:rsidR="006A5C02" w:rsidRPr="00B50C1D" w:rsidRDefault="006A5C02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</w:p>
    <w:p w:rsidR="006A5C02" w:rsidRPr="00B50C1D" w:rsidRDefault="006A5C02" w:rsidP="006A5C02">
      <w:pPr>
        <w:pStyle w:val="Standard"/>
        <w:jc w:val="center"/>
        <w:rPr>
          <w:color w:val="373435"/>
          <w:sz w:val="22"/>
          <w:szCs w:val="22"/>
          <w:shd w:val="clear" w:color="auto" w:fill="FFFFFF"/>
        </w:rPr>
      </w:pPr>
    </w:p>
    <w:p w:rsidR="006A5C02" w:rsidRPr="00B50C1D" w:rsidRDefault="00B50C1D" w:rsidP="006A5C02">
      <w:pPr>
        <w:pStyle w:val="Standard"/>
        <w:jc w:val="center"/>
        <w:rPr>
          <w:b/>
          <w:bCs/>
          <w:color w:val="373435"/>
          <w:sz w:val="22"/>
          <w:szCs w:val="22"/>
          <w:shd w:val="clear" w:color="auto" w:fill="FFFFFF"/>
        </w:rPr>
      </w:pPr>
      <w:r w:rsidRPr="00B50C1D">
        <w:rPr>
          <w:b/>
          <w:bCs/>
          <w:color w:val="373435"/>
          <w:sz w:val="22"/>
          <w:szCs w:val="22"/>
          <w:shd w:val="clear" w:color="auto" w:fill="FFFFFF"/>
        </w:rPr>
        <w:t>MURÍCIO MARQUES SCALON</w:t>
      </w:r>
    </w:p>
    <w:p w:rsidR="006A5C02" w:rsidRPr="00B50C1D" w:rsidRDefault="006A5C02" w:rsidP="006A5C02">
      <w:pPr>
        <w:pStyle w:val="Standard"/>
        <w:jc w:val="center"/>
        <w:rPr>
          <w:rFonts w:eastAsia="Arial" w:cs="Times New Roman"/>
          <w:shd w:val="clear" w:color="auto" w:fill="FFFFFF"/>
        </w:rPr>
      </w:pPr>
      <w:r w:rsidRPr="00B50C1D">
        <w:rPr>
          <w:color w:val="373435"/>
          <w:shd w:val="clear" w:color="auto" w:fill="FFFFFF"/>
        </w:rPr>
        <w:t>Secretário do CBH Araguari</w:t>
      </w:r>
    </w:p>
    <w:sectPr w:rsidR="006A5C02" w:rsidRPr="00B50C1D" w:rsidSect="006A5C02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34"/>
    <w:rsid w:val="001B6D19"/>
    <w:rsid w:val="006A5C02"/>
    <w:rsid w:val="00753E8C"/>
    <w:rsid w:val="00A65B30"/>
    <w:rsid w:val="00B50C1D"/>
    <w:rsid w:val="00F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D5CE"/>
  <w15:chartTrackingRefBased/>
  <w15:docId w15:val="{1643737C-FE46-4CF1-8608-FB591E8E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473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</dc:creator>
  <cp:keywords/>
  <dc:description/>
  <cp:lastModifiedBy>Vanda</cp:lastModifiedBy>
  <cp:revision>2</cp:revision>
  <dcterms:created xsi:type="dcterms:W3CDTF">2019-11-26T09:02:00Z</dcterms:created>
  <dcterms:modified xsi:type="dcterms:W3CDTF">2019-11-26T09:35:00Z</dcterms:modified>
</cp:coreProperties>
</file>