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5E" w:rsidRPr="005D2D5E" w:rsidRDefault="005D2D5E" w:rsidP="005D2D5E">
      <w:pPr>
        <w:shd w:val="clear" w:color="auto" w:fill="FFFFFF"/>
        <w:spacing w:after="300" w:line="240" w:lineRule="auto"/>
        <w:outlineLvl w:val="0"/>
        <w:rPr>
          <w:rFonts w:ascii="Trebuchet MS" w:eastAsia="Times New Roman" w:hAnsi="Trebuchet MS" w:cs="Times New Roman"/>
          <w:caps/>
          <w:color w:val="AB0000"/>
          <w:kern w:val="36"/>
          <w:sz w:val="27"/>
          <w:szCs w:val="27"/>
          <w:lang w:eastAsia="pt-BR"/>
        </w:rPr>
      </w:pPr>
      <w:r w:rsidRPr="005D2D5E">
        <w:rPr>
          <w:rFonts w:ascii="Trebuchet MS" w:eastAsia="Times New Roman" w:hAnsi="Trebuchet MS" w:cs="Times New Roman"/>
          <w:caps/>
          <w:color w:val="AB0000"/>
          <w:kern w:val="36"/>
          <w:sz w:val="27"/>
          <w:szCs w:val="27"/>
          <w:lang w:eastAsia="pt-BR"/>
        </w:rPr>
        <w:t>NOTÍCIAS </w:t>
      </w:r>
      <w:r w:rsidRPr="005D2D5E">
        <w:rPr>
          <w:rFonts w:ascii="Trebuchet MS" w:eastAsia="Times New Roman" w:hAnsi="Trebuchet MS" w:cs="Times New Roman"/>
          <w:caps/>
          <w:noProof/>
          <w:color w:val="AB0000"/>
          <w:kern w:val="36"/>
          <w:sz w:val="27"/>
          <w:szCs w:val="27"/>
          <w:lang w:eastAsia="pt-BR"/>
        </w:rPr>
        <w:drawing>
          <wp:inline distT="0" distB="0" distL="0" distR="0" wp14:anchorId="14D0B02D" wp14:editId="25036439">
            <wp:extent cx="114300" cy="114300"/>
            <wp:effectExtent l="0" t="0" r="0" b="0"/>
            <wp:docPr id="1" name="Imagem 1" descr="Rs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5E" w:rsidRPr="005D2D5E" w:rsidRDefault="005D2D5E" w:rsidP="005D2D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t-BR"/>
        </w:rPr>
      </w:pPr>
      <w:r w:rsidRPr="005D2D5E">
        <w:rPr>
          <w:rFonts w:ascii="Trebuchet MS" w:eastAsia="Times New Roman" w:hAnsi="Trebuchet MS" w:cs="Times New Roman"/>
          <w:sz w:val="20"/>
          <w:szCs w:val="20"/>
          <w:lang w:eastAsia="pt-BR"/>
        </w:rPr>
        <w:t>06/10/2015 16h13</w:t>
      </w:r>
    </w:p>
    <w:p w:rsidR="005D2D5E" w:rsidRPr="005D2D5E" w:rsidRDefault="005D2D5E" w:rsidP="005D2D5E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pt-BR"/>
        </w:rPr>
      </w:pPr>
      <w:r w:rsidRPr="005D2D5E">
        <w:rPr>
          <w:rFonts w:ascii="Trebuchet MS" w:eastAsia="Times New Roman" w:hAnsi="Trebuchet MS" w:cs="Times New Roman"/>
          <w:b/>
          <w:bCs/>
          <w:kern w:val="36"/>
          <w:sz w:val="36"/>
          <w:szCs w:val="36"/>
          <w:lang w:eastAsia="pt-BR"/>
        </w:rPr>
        <w:t>Governo encaminha projeto sobre Sistema de Meio Ambiente</w:t>
      </w:r>
    </w:p>
    <w:p w:rsidR="005D2D5E" w:rsidRPr="005D2D5E" w:rsidRDefault="005D2D5E" w:rsidP="005D2D5E">
      <w:pPr>
        <w:shd w:val="clear" w:color="auto" w:fill="FFFFFF"/>
        <w:spacing w:after="0" w:line="360" w:lineRule="atLeast"/>
        <w:outlineLvl w:val="1"/>
        <w:rPr>
          <w:rFonts w:ascii="Trebuchet MS" w:eastAsia="Times New Roman" w:hAnsi="Trebuchet MS" w:cs="Times New Roman"/>
          <w:b/>
          <w:bCs/>
          <w:sz w:val="30"/>
          <w:szCs w:val="30"/>
          <w:lang w:eastAsia="pt-BR"/>
        </w:rPr>
      </w:pPr>
      <w:r w:rsidRPr="005D2D5E">
        <w:rPr>
          <w:rFonts w:ascii="Trebuchet MS" w:eastAsia="Times New Roman" w:hAnsi="Trebuchet MS" w:cs="Times New Roman"/>
          <w:b/>
          <w:bCs/>
          <w:sz w:val="30"/>
          <w:szCs w:val="30"/>
          <w:lang w:eastAsia="pt-BR"/>
        </w:rPr>
        <w:t xml:space="preserve">Mensagem do governador pede urgência na tramitação da proposição que busca aperfeiçoar o funcionamento do </w:t>
      </w:r>
      <w:proofErr w:type="spellStart"/>
      <w:r w:rsidRPr="005D2D5E">
        <w:rPr>
          <w:rFonts w:ascii="Trebuchet MS" w:eastAsia="Times New Roman" w:hAnsi="Trebuchet MS" w:cs="Times New Roman"/>
          <w:b/>
          <w:bCs/>
          <w:sz w:val="30"/>
          <w:szCs w:val="30"/>
          <w:lang w:eastAsia="pt-BR"/>
        </w:rPr>
        <w:t>Sisema</w:t>
      </w:r>
      <w:proofErr w:type="spellEnd"/>
      <w:r w:rsidRPr="005D2D5E">
        <w:rPr>
          <w:rFonts w:ascii="Trebuchet MS" w:eastAsia="Times New Roman" w:hAnsi="Trebuchet MS" w:cs="Times New Roman"/>
          <w:b/>
          <w:bCs/>
          <w:sz w:val="30"/>
          <w:szCs w:val="30"/>
          <w:lang w:eastAsia="pt-BR"/>
        </w:rPr>
        <w:t>.</w:t>
      </w:r>
    </w:p>
    <w:p w:rsidR="005D2D5E" w:rsidRPr="005D2D5E" w:rsidRDefault="005D2D5E" w:rsidP="005D2D5E">
      <w:pPr>
        <w:shd w:val="clear" w:color="auto" w:fill="FFFFFF"/>
        <w:spacing w:after="0" w:line="0" w:lineRule="auto"/>
        <w:textAlignment w:val="top"/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</w:pPr>
      <w:proofErr w:type="spellStart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Twitter</w:t>
      </w:r>
      <w:proofErr w:type="spellEnd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 </w:t>
      </w:r>
    </w:p>
    <w:p w:rsidR="005D2D5E" w:rsidRPr="005D2D5E" w:rsidRDefault="005D2D5E" w:rsidP="005D2D5E">
      <w:pPr>
        <w:shd w:val="clear" w:color="auto" w:fill="FFFFFF"/>
        <w:spacing w:after="0" w:line="0" w:lineRule="auto"/>
        <w:textAlignment w:val="top"/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</w:pPr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 </w:t>
      </w:r>
      <w:proofErr w:type="spellStart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Facebook</w:t>
      </w:r>
      <w:proofErr w:type="spellEnd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 </w:t>
      </w:r>
    </w:p>
    <w:p w:rsidR="005D2D5E" w:rsidRPr="005D2D5E" w:rsidRDefault="005D2D5E" w:rsidP="005D2D5E">
      <w:pPr>
        <w:shd w:val="clear" w:color="auto" w:fill="FFFFFF"/>
        <w:spacing w:after="0" w:line="270" w:lineRule="atLeast"/>
        <w:jc w:val="center"/>
        <w:textAlignment w:val="bottom"/>
        <w:rPr>
          <w:rFonts w:ascii="Trebuchet MS" w:eastAsia="Times New Roman" w:hAnsi="Trebuchet MS" w:cs="Times New Roman"/>
          <w:color w:val="000000"/>
          <w:sz w:val="15"/>
          <w:szCs w:val="15"/>
          <w:lang w:eastAsia="pt-BR"/>
        </w:rPr>
      </w:pPr>
      <w:proofErr w:type="gramStart"/>
      <w:r w:rsidRPr="005D2D5E">
        <w:rPr>
          <w:rFonts w:ascii="Trebuchet MS" w:eastAsia="Times New Roman" w:hAnsi="Trebuchet MS" w:cs="Times New Roman"/>
          <w:color w:val="000000"/>
          <w:sz w:val="15"/>
          <w:szCs w:val="15"/>
          <w:lang w:eastAsia="pt-BR"/>
        </w:rPr>
        <w:t>6</w:t>
      </w:r>
      <w:proofErr w:type="gramEnd"/>
    </w:p>
    <w:p w:rsidR="005D2D5E" w:rsidRPr="005D2D5E" w:rsidRDefault="005D2D5E" w:rsidP="005D2D5E">
      <w:pPr>
        <w:shd w:val="clear" w:color="auto" w:fill="FFFFFF"/>
        <w:spacing w:line="0" w:lineRule="auto"/>
        <w:textAlignment w:val="top"/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</w:pPr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 </w:t>
      </w:r>
      <w:proofErr w:type="spellStart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Email</w:t>
      </w:r>
      <w:proofErr w:type="spellEnd"/>
      <w:r w:rsidRPr="005D2D5E">
        <w:rPr>
          <w:rFonts w:ascii="Trebuchet MS" w:eastAsia="Times New Roman" w:hAnsi="Trebuchet MS" w:cs="Times New Roman"/>
          <w:color w:val="555555"/>
          <w:sz w:val="2"/>
          <w:szCs w:val="2"/>
          <w:lang w:eastAsia="pt-BR"/>
        </w:rPr>
        <w:t> Versão para impressão</w:t>
      </w:r>
    </w:p>
    <w:p w:rsidR="005D2D5E" w:rsidRPr="005D2D5E" w:rsidRDefault="005D2D5E" w:rsidP="005D2D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eastAsia="pt-BR"/>
        </w:rPr>
      </w:pPr>
      <w:r w:rsidRPr="005D2D5E">
        <w:rPr>
          <w:rFonts w:ascii="Trebuchet MS" w:eastAsia="Times New Roman" w:hAnsi="Trebuchet MS" w:cs="Times New Roman"/>
          <w:noProof/>
          <w:color w:val="555555"/>
          <w:sz w:val="20"/>
          <w:szCs w:val="20"/>
          <w:lang w:eastAsia="pt-BR"/>
        </w:rPr>
        <w:drawing>
          <wp:inline distT="0" distB="0" distL="0" distR="0" wp14:anchorId="523D9052" wp14:editId="1ED68251">
            <wp:extent cx="6324600" cy="4191000"/>
            <wp:effectExtent l="0" t="0" r="0" b="0"/>
            <wp:docPr id="2" name="Imagem 2" descr="Objetivo do governo é assegurar a conservação, preservação e recuperação dos recursos naturais, para garantir o desenvolvimento sustentável e a melhoria da qualidade ambi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tivo do governo é assegurar a conservação, preservação e recuperação dos recursos naturais, para garantir o desenvolvimento sustentável e a melhoria da qualidade ambie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5E" w:rsidRPr="005D2D5E" w:rsidRDefault="005D2D5E" w:rsidP="005D2D5E">
      <w:pPr>
        <w:shd w:val="clear" w:color="auto" w:fill="F0F1F3"/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t-BR"/>
        </w:rPr>
      </w:pPr>
      <w:r w:rsidRPr="005D2D5E">
        <w:rPr>
          <w:rFonts w:ascii="Trebuchet MS" w:eastAsia="Times New Roman" w:hAnsi="Trebuchet MS" w:cs="Times New Roman"/>
          <w:sz w:val="20"/>
          <w:szCs w:val="20"/>
          <w:lang w:eastAsia="pt-BR"/>
        </w:rPr>
        <w:t>Objetivo do governo é assegurar a conservação, preservação e recuperação dos recursos naturais, para garantir o desenvolvimento sustentável e a melhoria da qualidade ambiental - </w:t>
      </w:r>
      <w:r w:rsidRPr="005D2D5E">
        <w:rPr>
          <w:rFonts w:ascii="Trebuchet MS" w:eastAsia="Times New Roman" w:hAnsi="Trebuchet MS" w:cs="Times New Roman"/>
          <w:i/>
          <w:iCs/>
          <w:sz w:val="20"/>
          <w:szCs w:val="20"/>
          <w:lang w:eastAsia="pt-BR"/>
        </w:rPr>
        <w:t xml:space="preserve">Foto: </w:t>
      </w:r>
      <w:proofErr w:type="spellStart"/>
      <w:r w:rsidRPr="005D2D5E">
        <w:rPr>
          <w:rFonts w:ascii="Trebuchet MS" w:eastAsia="Times New Roman" w:hAnsi="Trebuchet MS" w:cs="Times New Roman"/>
          <w:i/>
          <w:iCs/>
          <w:sz w:val="20"/>
          <w:szCs w:val="20"/>
          <w:lang w:eastAsia="pt-BR"/>
        </w:rPr>
        <w:t>Pollyanna</w:t>
      </w:r>
      <w:proofErr w:type="spellEnd"/>
      <w:r w:rsidRPr="005D2D5E">
        <w:rPr>
          <w:rFonts w:ascii="Trebuchet MS" w:eastAsia="Times New Roman" w:hAnsi="Trebuchet MS"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proofErr w:type="gramStart"/>
      <w:r w:rsidRPr="005D2D5E">
        <w:rPr>
          <w:rFonts w:ascii="Trebuchet MS" w:eastAsia="Times New Roman" w:hAnsi="Trebuchet MS" w:cs="Times New Roman"/>
          <w:i/>
          <w:iCs/>
          <w:sz w:val="20"/>
          <w:szCs w:val="20"/>
          <w:lang w:eastAsia="pt-BR"/>
        </w:rPr>
        <w:t>Maliniak</w:t>
      </w:r>
      <w:proofErr w:type="spellEnd"/>
      <w:proofErr w:type="gramEnd"/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O Plenário da Assembleia Legislativa de Minas Gerais (ALMG) recebeu, em Reunião Ordinária nesta terça-feira (6/10/15), mensagem do governador Fernando Pimentel encaminhando o Projeto de Lei (PL) 2.946/15, que dispõe sobre a estrutura do Sistema Estadual do Meio Ambiente (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Sisema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). A proposição, que vem acompanhada de pedido de urgência, tem por finalidade aperfeiçoar o funcionamento do sistema e garantir que as políticas de meio ambiente e de recursos hídricos ocorram de forma articulada, integrada, coordenada, transversal e eficiente.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Com isso, o governo espera assegurar a conservação, preservação e recuperação dos recursos naturais, de modo a garantir o desenvolvimento sustentável e a melhoria da qualidade ambiental do Estado, buscando readequar a estrutura básica e finalidades dos órgãos e entidades que compõem o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Sisema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, com o objetivo de adaptá-los às novas diretrizes e à atual conjuntura socioeconômica. Em sua mensagem, o governador destaca que as medidas propostas não acarretam impacto financeiro.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O Sistema Estadual do Meio Ambiente integra o Sistema Nacional do Meio Ambiente, criado pela Lei Federal 6.938, de 1981, e o Sistema Nacional de Gerenciamento de Recursos Hídricos, criado pela Lei Federal 9.433, de 1997, tendo como órgão central a Secretaria de Estado de Meio Ambiente e Desenvolvimento Sustentável (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Semad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).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lastRenderedPageBreak/>
        <w:t xml:space="preserve">Além da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Semad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, integram o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Sisema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 os seguintes órgãos e entidades: Conselho Estadual de Política Ambiental (Copam), Conselho Estadual de Recursos Hídricos (CERH-MG), Fundação Estadual do Meio Ambiente (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Feam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), Instituto Estadual de Florestas (IEF), Instituto Mineiro de Gestão das Águas (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Igam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), núcleos de gestão ambiental das demais secretarias de Estado, comitês de bacias hidrográficas e agências de bacias hidrográficas e entidades equiparadas de suas funções.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De acordo com o projeto, as competências específicas dos órgãos e entidades que compõem o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Sisema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 serão estabelecidas em decreto. Eles poderão compartilhar a execução das atividades de apoio e suporte, recursos materiais, infraestrutura e pessoal, observadas a conveniência administrativa e a integração regional.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A proposição detalha as finalidades de cada um desses órgãos e entidades e refere-se, também, à fiscalização ambiental, estabelecendo que as atividades de polícia administrativa, para fins de fiscalização, aplicação de sanções administrativas, cobrança e arrecadação de tributos e receitas advindas de multas serão compartilhadas entre esses órgãos e entidades, sob a coordenação da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Semad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b/>
          <w:bCs/>
          <w:sz w:val="23"/>
          <w:szCs w:val="23"/>
          <w:lang w:eastAsia="pt-BR"/>
        </w:rPr>
        <w:t>Lei específica criará fundo estadual de meio ambiente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Em suas disposições finais, o projeto aponta que lei específica criará o fundo estadual do meio ambiente, de natureza programática, destinado à execução de programas de trabalho voltados para o meio ambiente, composto por receitas específicas e ordinárias, que terá a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Semad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 como órgão gestor.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Segundo a proposta, a receita do fundo será composta pelo produto da arrecadação de multa aplicada pela </w:t>
      </w:r>
      <w:proofErr w:type="spell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Semad</w:t>
      </w:r>
      <w:proofErr w:type="spell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 e seus órgãos ambientais, que instituirão os emolumentos e outros valores pecuniários, necessários à aplicação da legislação do meio ambiente e de gestão dos recursos hídricos, incluídos os custos operacionais relacionados com as atividades de regularização ambiental, que integrarão o fundo.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O projeto determina ainda que os valores correspondentes às etapas de vistoria e análise para a regularização ambiental serão fixados em resolução do secretário de Estado de Meio Ambiente; e que as regras, fluxos e procedimentos aplicáveis aos processos de regularização ambiental, autorização para intervenção ambiental e outorga do direito de uso de recursos hídricos serão estabelecidos em decreto.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A proposição também acrescenta parágrafo ao artigo 16-C da </w:t>
      </w:r>
      <w:hyperlink r:id="rId8" w:history="1">
        <w:r w:rsidRPr="005D2D5E">
          <w:rPr>
            <w:rFonts w:ascii="Trebuchet MS" w:eastAsia="Times New Roman" w:hAnsi="Trebuchet MS" w:cs="Times New Roman"/>
            <w:sz w:val="23"/>
            <w:szCs w:val="23"/>
            <w:u w:val="single"/>
            <w:lang w:eastAsia="pt-BR"/>
          </w:rPr>
          <w:t>Lei 7.772, de 1980</w:t>
        </w:r>
      </w:hyperlink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, determinando que a tramitação e o julgamento da defesa e do recurso poderão ser diferenciados, observados os critérios e a forma previstos em decreto, em razão do menor valor da multa ou da menor complexidade da matéria discutida, hipóteses em que o procedimento poderá ser denominado rito sumário.</w:t>
      </w:r>
    </w:p>
    <w:p w:rsidR="005D2D5E" w:rsidRPr="005D2D5E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No artigo 32 fica estabelecido que a Advocacia-Geral do Estado </w:t>
      </w:r>
      <w:proofErr w:type="gramStart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promoverá</w:t>
      </w:r>
      <w:proofErr w:type="gramEnd"/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 xml:space="preserve"> a defesa de agentes públicos que atuarem em processos de licenciamento ambiental.</w:t>
      </w:r>
    </w:p>
    <w:p w:rsidR="005326C9" w:rsidRDefault="005D2D5E" w:rsidP="005D2D5E">
      <w:pPr>
        <w:shd w:val="clear" w:color="auto" w:fill="FFFFFF"/>
        <w:spacing w:before="300" w:after="300" w:line="300" w:lineRule="atLeast"/>
        <w:rPr>
          <w:rFonts w:ascii="Trebuchet MS" w:eastAsia="Times New Roman" w:hAnsi="Trebuchet MS" w:cs="Times New Roman"/>
          <w:sz w:val="23"/>
          <w:szCs w:val="23"/>
          <w:lang w:eastAsia="pt-BR"/>
        </w:rPr>
      </w:pPr>
      <w:r w:rsidRPr="005D2D5E">
        <w:rPr>
          <w:rFonts w:ascii="Trebuchet MS" w:eastAsia="Times New Roman" w:hAnsi="Trebuchet MS" w:cs="Times New Roman"/>
          <w:sz w:val="23"/>
          <w:szCs w:val="23"/>
          <w:lang w:eastAsia="pt-BR"/>
        </w:rPr>
        <w:t>O PL 2.946/15 será analisado pelas Comissões de Constituição e Justiça, de Meio Ambiente e Desenvolvimento Sustentável, de Administração Pública e de Fiscalização Financeira e Orçamentária.</w:t>
      </w:r>
    </w:p>
    <w:p w:rsidR="002E1828" w:rsidRDefault="002E1828" w:rsidP="005D2D5E">
      <w:pPr>
        <w:shd w:val="clear" w:color="auto" w:fill="FFFFFF"/>
        <w:spacing w:before="300" w:after="300" w:line="300" w:lineRule="atLeast"/>
      </w:pPr>
      <w:r>
        <w:rPr>
          <w:rFonts w:ascii="Trebuchet MS" w:eastAsia="Times New Roman" w:hAnsi="Trebuchet MS" w:cs="Times New Roman"/>
          <w:sz w:val="23"/>
          <w:szCs w:val="23"/>
          <w:lang w:eastAsia="pt-BR"/>
        </w:rPr>
        <w:t>Retirado em 7/10/2015 do site da ALMG</w:t>
      </w:r>
      <w:bookmarkStart w:id="0" w:name="_GoBack"/>
      <w:bookmarkEnd w:id="0"/>
    </w:p>
    <w:sectPr w:rsidR="002E1828" w:rsidSect="002E1828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5E"/>
    <w:rsid w:val="002E1828"/>
    <w:rsid w:val="005326C9"/>
    <w:rsid w:val="005D2D5E"/>
    <w:rsid w:val="00C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48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3500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4" w:color="CCCCCC"/>
                                <w:bottom w:val="single" w:sz="6" w:space="0" w:color="CCCCCC"/>
                                <w:right w:val="single" w:sz="6" w:space="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2425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g.gov.br/consulte/legislacao/completa/completa.html?tipo=LEI&amp;num=7772&amp;comp=&amp;ano=1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almg.gov.br/sobre/rss.x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2015-10-07T13:12:00Z</dcterms:created>
  <dcterms:modified xsi:type="dcterms:W3CDTF">2015-10-07T13:37:00Z</dcterms:modified>
</cp:coreProperties>
</file>