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2DA" w:rsidRDefault="001A22DA" w:rsidP="00DB1DC1">
      <w:pPr>
        <w:jc w:val="center"/>
      </w:pPr>
    </w:p>
    <w:p w:rsidR="001A22DA" w:rsidRDefault="001A22DA" w:rsidP="00DB1DC1">
      <w:pPr>
        <w:jc w:val="center"/>
      </w:pPr>
    </w:p>
    <w:p w:rsidR="001A22DA" w:rsidRDefault="001A22DA" w:rsidP="001A22DA">
      <w:pPr>
        <w:spacing w:after="0" w:line="240" w:lineRule="auto"/>
      </w:pPr>
      <w:r>
        <w:t>Ilmo. Sr. Lineu Neiva Rodrigues</w:t>
      </w:r>
    </w:p>
    <w:p w:rsidR="001A22DA" w:rsidRDefault="001A22DA" w:rsidP="001A22DA">
      <w:pPr>
        <w:spacing w:after="0" w:line="240" w:lineRule="auto"/>
      </w:pPr>
      <w:r>
        <w:t>Presidente da Câmara Técnica de Ciência &amp; Tecnologia</w:t>
      </w:r>
    </w:p>
    <w:p w:rsidR="001A22DA" w:rsidRDefault="001A22DA" w:rsidP="001A22DA">
      <w:pPr>
        <w:spacing w:after="0" w:line="240" w:lineRule="auto"/>
      </w:pPr>
      <w:r>
        <w:t>Conselho Nacional de Recursos Hídricos</w:t>
      </w:r>
    </w:p>
    <w:p w:rsidR="001A22DA" w:rsidRDefault="001A22DA" w:rsidP="001A22DA">
      <w:pPr>
        <w:spacing w:after="0" w:line="240" w:lineRule="auto"/>
      </w:pPr>
      <w:r>
        <w:t>Ministério do Meio Ambiente</w:t>
      </w:r>
    </w:p>
    <w:p w:rsidR="001A22DA" w:rsidRDefault="001A22DA" w:rsidP="001A22DA">
      <w:pPr>
        <w:spacing w:after="0" w:line="240" w:lineRule="auto"/>
      </w:pPr>
    </w:p>
    <w:p w:rsidR="001A22DA" w:rsidRDefault="001A22DA" w:rsidP="001A22DA">
      <w:pPr>
        <w:spacing w:after="0" w:line="240" w:lineRule="auto"/>
      </w:pPr>
    </w:p>
    <w:p w:rsidR="001A22DA" w:rsidRDefault="001A22DA" w:rsidP="001A22DA">
      <w:pPr>
        <w:spacing w:after="0" w:line="240" w:lineRule="auto"/>
      </w:pPr>
      <w:r>
        <w:t xml:space="preserve">Prezado Sr. </w:t>
      </w:r>
    </w:p>
    <w:p w:rsidR="001A22DA" w:rsidRDefault="001A22DA" w:rsidP="001A22DA">
      <w:pPr>
        <w:spacing w:after="0" w:line="240" w:lineRule="auto"/>
      </w:pPr>
    </w:p>
    <w:p w:rsidR="001A22DA" w:rsidRDefault="001A22DA" w:rsidP="001A22DA">
      <w:pPr>
        <w:spacing w:after="0" w:line="240" w:lineRule="auto"/>
        <w:jc w:val="both"/>
      </w:pPr>
      <w:r>
        <w:t xml:space="preserve">Apresentamos as demandas de </w:t>
      </w:r>
      <w:proofErr w:type="gramStart"/>
      <w:r>
        <w:t>C,T</w:t>
      </w:r>
      <w:proofErr w:type="gramEnd"/>
      <w:r>
        <w:t xml:space="preserve">&amp;I levantadas junto a representantes da sociedade civil e da academia </w:t>
      </w:r>
      <w:r w:rsidR="005E4E80">
        <w:t>em</w:t>
      </w:r>
      <w:r>
        <w:t xml:space="preserve"> Mato Grosso, estado que congrega três das principais bacias hidrográficas e biomas do país</w:t>
      </w:r>
      <w:r w:rsidR="005E4E80" w:rsidRPr="005E4E80">
        <w:t xml:space="preserve"> </w:t>
      </w:r>
      <w:r w:rsidR="005E4E80">
        <w:t>Araguaia, Amazôni</w:t>
      </w:r>
      <w:r w:rsidR="005E4E80">
        <w:t>ca</w:t>
      </w:r>
      <w:r w:rsidR="005E4E80">
        <w:t xml:space="preserve"> e Paraguai/Pantanal</w:t>
      </w:r>
      <w:r w:rsidR="005E4E80">
        <w:t>,</w:t>
      </w:r>
      <w:r>
        <w:t xml:space="preserve"> ameaçados por serem fronteiras de exploração </w:t>
      </w:r>
      <w:r w:rsidR="005E4E80">
        <w:t xml:space="preserve">agropecuária e </w:t>
      </w:r>
      <w:proofErr w:type="spellStart"/>
      <w:r w:rsidR="005E4E80">
        <w:t>hidroenergética</w:t>
      </w:r>
      <w:proofErr w:type="spellEnd"/>
      <w:r w:rsidR="005E4E80">
        <w:t>, colocando em risco a conservação dos seus</w:t>
      </w:r>
      <w:r>
        <w:t xml:space="preserve"> recursos naturais ainda com relativo estado de conservação.</w:t>
      </w:r>
    </w:p>
    <w:p w:rsidR="001A22DA" w:rsidRDefault="001A22DA" w:rsidP="001A22DA">
      <w:pPr>
        <w:spacing w:after="0" w:line="240" w:lineRule="auto"/>
      </w:pPr>
    </w:p>
    <w:p w:rsidR="001A22DA" w:rsidRDefault="001A22DA" w:rsidP="001A22DA">
      <w:pPr>
        <w:spacing w:after="0" w:line="240" w:lineRule="auto"/>
        <w:jc w:val="both"/>
      </w:pPr>
      <w:r>
        <w:t xml:space="preserve">Solicitamos </w:t>
      </w:r>
      <w:r w:rsidR="005E4E80">
        <w:t xml:space="preserve">oficialmente </w:t>
      </w:r>
      <w:r>
        <w:t>a avaliação e priorização destas demandas de pesquisa e de efetivação de políticas públicas pelos demais membros desta Câmara Técnica.</w:t>
      </w:r>
    </w:p>
    <w:p w:rsidR="001A22DA" w:rsidRDefault="001A22DA" w:rsidP="001A22DA">
      <w:pPr>
        <w:spacing w:after="0" w:line="240" w:lineRule="auto"/>
        <w:jc w:val="both"/>
      </w:pPr>
    </w:p>
    <w:p w:rsidR="001A22DA" w:rsidRDefault="001A22DA" w:rsidP="001A22DA">
      <w:pPr>
        <w:spacing w:after="0" w:line="240" w:lineRule="auto"/>
        <w:jc w:val="both"/>
      </w:pPr>
      <w:r>
        <w:t>S</w:t>
      </w:r>
      <w:r w:rsidR="005E4E80">
        <w:t>olicita</w:t>
      </w:r>
      <w:r>
        <w:t xml:space="preserve">mos que </w:t>
      </w:r>
      <w:r w:rsidR="00B6535C">
        <w:t xml:space="preserve">três </w:t>
      </w:r>
      <w:r w:rsidR="00EC1360">
        <w:t>de</w:t>
      </w:r>
      <w:r w:rsidR="005E4E80">
        <w:t>mandas destacadas abaixo</w:t>
      </w:r>
      <w:r w:rsidR="00EC1360">
        <w:t xml:space="preserve"> </w:t>
      </w:r>
      <w:r>
        <w:t>sejam priorizadas</w:t>
      </w:r>
      <w:r w:rsidR="005E4E80">
        <w:t>:</w:t>
      </w:r>
      <w:r>
        <w:t xml:space="preserve"> </w:t>
      </w:r>
    </w:p>
    <w:p w:rsidR="001A22DA" w:rsidRDefault="001A22DA" w:rsidP="001A22DA">
      <w:pPr>
        <w:spacing w:after="0" w:line="240" w:lineRule="auto"/>
        <w:jc w:val="both"/>
      </w:pPr>
    </w:p>
    <w:p w:rsidR="00EC1360" w:rsidRPr="005E4E80" w:rsidRDefault="00EC1360" w:rsidP="001A22DA">
      <w:pPr>
        <w:spacing w:after="0" w:line="240" w:lineRule="auto"/>
        <w:jc w:val="both"/>
        <w:rPr>
          <w:i/>
        </w:rPr>
      </w:pPr>
      <w:r w:rsidRPr="005E4E80">
        <w:rPr>
          <w:i/>
        </w:rPr>
        <w:t>- Bacia do Alto Paraguai (BAP) – Mapa de Áreas de Restrição de Uso dos Recursos Hídricos – avaliação técnica da CTCT e emissão de parecer para o CNRH – com base na Nota Técnica de especialistas da UNEMAT e UFMT (anexo)</w:t>
      </w:r>
      <w:r w:rsidR="00AD6493" w:rsidRPr="00AD6493">
        <w:t xml:space="preserve"> </w:t>
      </w:r>
      <w:r w:rsidR="00AD6493" w:rsidRPr="00AD6493">
        <w:rPr>
          <w:i/>
        </w:rPr>
        <w:t>com apresentação do Mapa pelos especialistas responsáveis em reunião da CTCT</w:t>
      </w:r>
      <w:r w:rsidR="00B6535C">
        <w:rPr>
          <w:i/>
        </w:rPr>
        <w:t>. Neste Mapa recomenda-se que as</w:t>
      </w:r>
      <w:bookmarkStart w:id="0" w:name="_Hlk505786681"/>
      <w:r w:rsidR="00B6535C">
        <w:rPr>
          <w:i/>
        </w:rPr>
        <w:t xml:space="preserve"> b</w:t>
      </w:r>
      <w:r w:rsidRPr="005E4E80">
        <w:rPr>
          <w:i/>
        </w:rPr>
        <w:t>acias ainda livres de barragens na BAP se mantenham LIVRES DE BARRAGEN</w:t>
      </w:r>
      <w:r w:rsidR="005E4E80" w:rsidRPr="005E4E80">
        <w:rPr>
          <w:i/>
        </w:rPr>
        <w:t>S para garantir o princípio de Usos Múltiplos, em especial a produção pesqueira, j</w:t>
      </w:r>
      <w:r w:rsidR="00B6535C">
        <w:rPr>
          <w:i/>
        </w:rPr>
        <w:t>á</w:t>
      </w:r>
      <w:r w:rsidR="005E4E80" w:rsidRPr="005E4E80">
        <w:rPr>
          <w:i/>
        </w:rPr>
        <w:t xml:space="preserve"> que </w:t>
      </w:r>
      <w:r w:rsidR="00B6535C">
        <w:rPr>
          <w:i/>
        </w:rPr>
        <w:t>o</w:t>
      </w:r>
      <w:r w:rsidR="005E4E80" w:rsidRPr="005E4E80">
        <w:rPr>
          <w:i/>
        </w:rPr>
        <w:t xml:space="preserve"> aproveitamento do potencial hidrelétrico da bacia já se encontra na ordem de 50% </w:t>
      </w:r>
      <w:r w:rsidRPr="005E4E80">
        <w:rPr>
          <w:i/>
        </w:rPr>
        <w:t xml:space="preserve">– sub bacias dos rios </w:t>
      </w:r>
      <w:proofErr w:type="spellStart"/>
      <w:r w:rsidRPr="005E4E80">
        <w:rPr>
          <w:i/>
        </w:rPr>
        <w:t>Septotuba</w:t>
      </w:r>
      <w:proofErr w:type="spellEnd"/>
      <w:r w:rsidRPr="005E4E80">
        <w:rPr>
          <w:i/>
        </w:rPr>
        <w:t xml:space="preserve">, </w:t>
      </w:r>
      <w:proofErr w:type="spellStart"/>
      <w:r w:rsidRPr="005E4E80">
        <w:rPr>
          <w:i/>
        </w:rPr>
        <w:t>Cabaçal</w:t>
      </w:r>
      <w:proofErr w:type="spellEnd"/>
      <w:r w:rsidRPr="005E4E80">
        <w:rPr>
          <w:i/>
        </w:rPr>
        <w:t xml:space="preserve">, Alto Paraguai, </w:t>
      </w:r>
      <w:proofErr w:type="spellStart"/>
      <w:r w:rsidR="005E4E80" w:rsidRPr="005E4E80">
        <w:rPr>
          <w:i/>
        </w:rPr>
        <w:t>Jauquara</w:t>
      </w:r>
      <w:proofErr w:type="spellEnd"/>
      <w:r w:rsidR="005E4E80" w:rsidRPr="005E4E80">
        <w:rPr>
          <w:i/>
        </w:rPr>
        <w:t xml:space="preserve">, </w:t>
      </w:r>
      <w:proofErr w:type="spellStart"/>
      <w:r w:rsidRPr="005E4E80">
        <w:rPr>
          <w:i/>
        </w:rPr>
        <w:t>Cuiabazinho</w:t>
      </w:r>
      <w:proofErr w:type="spellEnd"/>
      <w:r w:rsidRPr="005E4E80">
        <w:rPr>
          <w:i/>
        </w:rPr>
        <w:t xml:space="preserve">, Cuiabá, Mutum, </w:t>
      </w:r>
      <w:proofErr w:type="spellStart"/>
      <w:r w:rsidRPr="005E4E80">
        <w:rPr>
          <w:i/>
        </w:rPr>
        <w:t>Aricá</w:t>
      </w:r>
      <w:proofErr w:type="spellEnd"/>
      <w:r w:rsidRPr="005E4E80">
        <w:rPr>
          <w:i/>
        </w:rPr>
        <w:t xml:space="preserve"> Mirim, </w:t>
      </w:r>
      <w:proofErr w:type="spellStart"/>
      <w:r w:rsidRPr="005E4E80">
        <w:rPr>
          <w:i/>
        </w:rPr>
        <w:t>Aricá</w:t>
      </w:r>
      <w:proofErr w:type="spellEnd"/>
      <w:r w:rsidRPr="005E4E80">
        <w:rPr>
          <w:i/>
        </w:rPr>
        <w:t xml:space="preserve"> Açu, Piquiri, Ariranhas </w:t>
      </w:r>
      <w:r w:rsidR="005E4E80" w:rsidRPr="005E4E80">
        <w:rPr>
          <w:i/>
        </w:rPr>
        <w:t>(</w:t>
      </w:r>
      <w:r w:rsidRPr="005E4E80">
        <w:rPr>
          <w:i/>
        </w:rPr>
        <w:t>MT</w:t>
      </w:r>
      <w:r w:rsidR="005E4E80" w:rsidRPr="005E4E80">
        <w:rPr>
          <w:i/>
        </w:rPr>
        <w:t>), bem como</w:t>
      </w:r>
      <w:r w:rsidRPr="005E4E80">
        <w:rPr>
          <w:i/>
        </w:rPr>
        <w:t xml:space="preserve"> Taquari</w:t>
      </w:r>
      <w:r w:rsidR="005E4E80" w:rsidRPr="005E4E80">
        <w:rPr>
          <w:i/>
        </w:rPr>
        <w:t>/</w:t>
      </w:r>
      <w:r w:rsidR="005E4E80" w:rsidRPr="005E4E80">
        <w:rPr>
          <w:i/>
        </w:rPr>
        <w:t>Coxim</w:t>
      </w:r>
      <w:r w:rsidR="005E4E80" w:rsidRPr="005E4E80">
        <w:rPr>
          <w:i/>
        </w:rPr>
        <w:t>,</w:t>
      </w:r>
      <w:r w:rsidRPr="005E4E80">
        <w:rPr>
          <w:i/>
        </w:rPr>
        <w:t xml:space="preserve"> Negro, </w:t>
      </w:r>
      <w:proofErr w:type="spellStart"/>
      <w:r w:rsidRPr="005E4E80">
        <w:rPr>
          <w:i/>
        </w:rPr>
        <w:t>Apa</w:t>
      </w:r>
      <w:proofErr w:type="spellEnd"/>
      <w:r w:rsidR="005E4E80" w:rsidRPr="005E4E80">
        <w:rPr>
          <w:i/>
        </w:rPr>
        <w:t xml:space="preserve">, </w:t>
      </w:r>
      <w:proofErr w:type="spellStart"/>
      <w:r w:rsidR="005E4E80" w:rsidRPr="005E4E80">
        <w:rPr>
          <w:i/>
        </w:rPr>
        <w:t>Aquiadauana</w:t>
      </w:r>
      <w:proofErr w:type="spellEnd"/>
      <w:r w:rsidR="005E4E80" w:rsidRPr="005E4E80">
        <w:rPr>
          <w:i/>
        </w:rPr>
        <w:t xml:space="preserve"> e Miranda (</w:t>
      </w:r>
      <w:r w:rsidRPr="005E4E80">
        <w:rPr>
          <w:i/>
        </w:rPr>
        <w:t>MS</w:t>
      </w:r>
      <w:r w:rsidR="005E4E80" w:rsidRPr="005E4E80">
        <w:rPr>
          <w:i/>
        </w:rPr>
        <w:t>)</w:t>
      </w:r>
      <w:r w:rsidR="00AD6493">
        <w:rPr>
          <w:i/>
        </w:rPr>
        <w:t>, conforme Recomendação CNZU No. 10/2018 (anexo)</w:t>
      </w:r>
      <w:r w:rsidRPr="005E4E80">
        <w:rPr>
          <w:i/>
        </w:rPr>
        <w:t>;</w:t>
      </w:r>
    </w:p>
    <w:bookmarkEnd w:id="0"/>
    <w:p w:rsidR="001A22DA" w:rsidRPr="005E4E80" w:rsidRDefault="001A22DA" w:rsidP="001A22DA">
      <w:pPr>
        <w:spacing w:after="0" w:line="240" w:lineRule="auto"/>
        <w:jc w:val="both"/>
        <w:rPr>
          <w:i/>
        </w:rPr>
      </w:pPr>
      <w:r w:rsidRPr="005E4E80">
        <w:rPr>
          <w:i/>
        </w:rPr>
        <w:t xml:space="preserve">- Solicitação ao CNRH de determinação da realização do Plano de Recursos Hídricos da </w:t>
      </w:r>
      <w:r w:rsidR="005E4E80" w:rsidRPr="005E4E80">
        <w:rPr>
          <w:i/>
        </w:rPr>
        <w:t>Bacia</w:t>
      </w:r>
      <w:r w:rsidRPr="005E4E80">
        <w:rPr>
          <w:i/>
        </w:rPr>
        <w:t xml:space="preserve"> Hidrográfica do Tapajós com previsão de Criação do Comitê Federal da </w:t>
      </w:r>
      <w:r w:rsidR="005E4E80" w:rsidRPr="005E4E80">
        <w:rPr>
          <w:i/>
        </w:rPr>
        <w:t>B</w:t>
      </w:r>
      <w:r w:rsidRPr="005E4E80">
        <w:rPr>
          <w:i/>
        </w:rPr>
        <w:t xml:space="preserve">acia do Tapajós, em especial relacionada à conservação das sub bacias dos rios </w:t>
      </w:r>
      <w:proofErr w:type="spellStart"/>
      <w:r w:rsidRPr="005E4E80">
        <w:rPr>
          <w:i/>
        </w:rPr>
        <w:t>Juruena</w:t>
      </w:r>
      <w:proofErr w:type="spellEnd"/>
      <w:r w:rsidRPr="005E4E80">
        <w:rPr>
          <w:i/>
        </w:rPr>
        <w:t xml:space="preserve"> e Tapajós como LIVRES DE BARRAGENS, visando garantir o direito Constitucional da conservação ambiental e de usos e modos de vida de povos e comunidades tradicionais; </w:t>
      </w:r>
    </w:p>
    <w:p w:rsidR="001A22DA" w:rsidRPr="005E4E80" w:rsidRDefault="001A22DA" w:rsidP="001A22DA">
      <w:pPr>
        <w:spacing w:after="0" w:line="240" w:lineRule="auto"/>
        <w:jc w:val="both"/>
        <w:rPr>
          <w:i/>
        </w:rPr>
      </w:pPr>
      <w:r w:rsidRPr="005E4E80">
        <w:rPr>
          <w:i/>
        </w:rPr>
        <w:t xml:space="preserve">- Rio Araguaia como LIVRE DE BARRAGENS devido à </w:t>
      </w:r>
      <w:r w:rsidR="00EC1360" w:rsidRPr="005E4E80">
        <w:rPr>
          <w:i/>
        </w:rPr>
        <w:t>espécie</w:t>
      </w:r>
      <w:r w:rsidRPr="005E4E80">
        <w:rPr>
          <w:i/>
        </w:rPr>
        <w:t xml:space="preserve"> endêmica de boto, conservação de </w:t>
      </w:r>
      <w:r w:rsidR="005E4E80" w:rsidRPr="005E4E80">
        <w:rPr>
          <w:i/>
        </w:rPr>
        <w:t xml:space="preserve">demais </w:t>
      </w:r>
      <w:r w:rsidRPr="005E4E80">
        <w:rPr>
          <w:i/>
        </w:rPr>
        <w:t>usos</w:t>
      </w:r>
      <w:r w:rsidR="005E4E80" w:rsidRPr="005E4E80">
        <w:rPr>
          <w:i/>
        </w:rPr>
        <w:t xml:space="preserve">, bem como dos </w:t>
      </w:r>
      <w:r w:rsidRPr="005E4E80">
        <w:rPr>
          <w:i/>
        </w:rPr>
        <w:t>modos de vida de povos e comunidades tradicionais</w:t>
      </w:r>
      <w:r w:rsidR="005E4E80">
        <w:rPr>
          <w:i/>
        </w:rPr>
        <w:t>.</w:t>
      </w:r>
    </w:p>
    <w:p w:rsidR="001A22DA" w:rsidRDefault="001A22DA" w:rsidP="001A22DA">
      <w:pPr>
        <w:spacing w:after="0" w:line="240" w:lineRule="auto"/>
        <w:jc w:val="both"/>
      </w:pPr>
    </w:p>
    <w:p w:rsidR="001A22DA" w:rsidRDefault="001A22DA" w:rsidP="001A22DA">
      <w:pPr>
        <w:spacing w:after="0" w:line="240" w:lineRule="auto"/>
      </w:pPr>
    </w:p>
    <w:p w:rsidR="009D344D" w:rsidRDefault="00EC1360" w:rsidP="00EC1360">
      <w:pPr>
        <w:spacing w:after="0" w:line="240" w:lineRule="auto"/>
      </w:pPr>
      <w:r>
        <w:t>DEMANDAS:</w:t>
      </w:r>
    </w:p>
    <w:p w:rsidR="00EC1360" w:rsidRDefault="00EC1360" w:rsidP="00EC1360">
      <w:pPr>
        <w:spacing w:after="0" w:line="240" w:lineRule="auto"/>
      </w:pPr>
    </w:p>
    <w:p w:rsidR="009D344D" w:rsidRDefault="009D344D" w:rsidP="009D344D">
      <w:pPr>
        <w:jc w:val="both"/>
      </w:pPr>
      <w:r>
        <w:t xml:space="preserve">- </w:t>
      </w:r>
      <w:r w:rsidR="00F04536">
        <w:t>Garantir o d</w:t>
      </w:r>
      <w:r>
        <w:t xml:space="preserve">ireito dos povos e comunidades tradicionais ao acesso à água em quantidade e qualidade e </w:t>
      </w:r>
      <w:r w:rsidR="00CE0162">
        <w:t>usufruto do</w:t>
      </w:r>
      <w:r>
        <w:t xml:space="preserve">s </w:t>
      </w:r>
      <w:r w:rsidR="00F16EA9">
        <w:t xml:space="preserve">seus </w:t>
      </w:r>
      <w:r>
        <w:t>territórios de pesca</w:t>
      </w:r>
      <w:r w:rsidR="00A10D0D">
        <w:t>, conservação de modos de</w:t>
      </w:r>
      <w:r w:rsidR="00B01CF8">
        <w:t xml:space="preserve"> </w:t>
      </w:r>
      <w:r w:rsidR="00A10D0D">
        <w:t>vida</w:t>
      </w:r>
      <w:r>
        <w:t xml:space="preserve"> e </w:t>
      </w:r>
      <w:r w:rsidR="00A10D0D">
        <w:t>culturais/s</w:t>
      </w:r>
      <w:r>
        <w:t>agrados</w:t>
      </w:r>
      <w:r w:rsidR="00CE0162">
        <w:t xml:space="preserve"> por meio da maior participação dos seus representantes no CNRH, nos </w:t>
      </w:r>
      <w:proofErr w:type="spellStart"/>
      <w:r w:rsidR="00CE0162">
        <w:t>CERHs</w:t>
      </w:r>
      <w:proofErr w:type="spellEnd"/>
      <w:r w:rsidR="00CE0162">
        <w:t xml:space="preserve"> e nos Comitês de Bacia criando a categoria COMUNIDADES TRADICIONAIS e aumentando a representação </w:t>
      </w:r>
      <w:r w:rsidR="00CE0162">
        <w:t>das regiões hidrográficas</w:t>
      </w:r>
      <w:r w:rsidR="00CE0162">
        <w:t xml:space="preserve"> do país quanto aos indígenas, pescadores profissionais-artesanais, ribeirinhos e membros do Conselho Nacional de Povos e Comunidades Tradicionais</w:t>
      </w:r>
      <w:r w:rsidR="00A10D0D">
        <w:t>;</w:t>
      </w:r>
    </w:p>
    <w:p w:rsidR="00CE0162" w:rsidRDefault="00CE0162" w:rsidP="009D344D">
      <w:pPr>
        <w:jc w:val="both"/>
      </w:pPr>
    </w:p>
    <w:p w:rsidR="009D344D" w:rsidRDefault="00CE0162" w:rsidP="009D344D">
      <w:pPr>
        <w:jc w:val="both"/>
      </w:pPr>
      <w:r>
        <w:t>-</w:t>
      </w:r>
      <w:r w:rsidR="009D344D">
        <w:t xml:space="preserve"> </w:t>
      </w:r>
      <w:r w:rsidR="001A3965">
        <w:t xml:space="preserve">Implementação urgente de métodos de redução de perdas e </w:t>
      </w:r>
      <w:r w:rsidR="009D344D">
        <w:t xml:space="preserve">do </w:t>
      </w:r>
      <w:r w:rsidR="00F16EA9">
        <w:t>d</w:t>
      </w:r>
      <w:r w:rsidR="009D344D">
        <w:t xml:space="preserve">esperdício de </w:t>
      </w:r>
      <w:r w:rsidR="00F16EA9">
        <w:t>á</w:t>
      </w:r>
      <w:r w:rsidR="009D344D">
        <w:t>gua na</w:t>
      </w:r>
      <w:r w:rsidR="00F16EA9">
        <w:t xml:space="preserve"> rede de abastecimento/</w:t>
      </w:r>
      <w:r w:rsidR="009D344D">
        <w:t>distribuição urbana</w:t>
      </w:r>
      <w:r w:rsidR="001A3965">
        <w:t xml:space="preserve"> em todo o país</w:t>
      </w:r>
      <w:r w:rsidR="00F16EA9">
        <w:t>;</w:t>
      </w:r>
    </w:p>
    <w:p w:rsidR="00D7353B" w:rsidRDefault="009D344D" w:rsidP="009D344D">
      <w:pPr>
        <w:jc w:val="both"/>
      </w:pPr>
      <w:r>
        <w:t>- Rios Voadores x Desmatamento da Amazônia</w:t>
      </w:r>
      <w:r w:rsidR="00F16EA9">
        <w:t xml:space="preserve"> – </w:t>
      </w:r>
      <w:r w:rsidR="00AC6D96" w:rsidRPr="00AC6D96">
        <w:t>e o potencial de alteração no balanço hídrico nas regiões Centro-</w:t>
      </w:r>
      <w:r w:rsidR="00AC6D96">
        <w:t>Oeste e Sudeste</w:t>
      </w:r>
      <w:r w:rsidR="00AC6D96" w:rsidRPr="00AC6D96">
        <w:t xml:space="preserve"> do país, onde se encontra o Pantanal Mato-grossense, </w:t>
      </w:r>
      <w:r w:rsidR="00AC6D96">
        <w:t xml:space="preserve">e o Sistema Paraguai-Paraná de Áreas Úmidas, </w:t>
      </w:r>
      <w:r w:rsidR="00B01CF8">
        <w:t>boa parte da</w:t>
      </w:r>
      <w:r w:rsidR="00AC6D96" w:rsidRPr="00AC6D96">
        <w:t xml:space="preserve">s áreas de recarga do Cerrado, </w:t>
      </w:r>
      <w:r w:rsidR="00B01CF8">
        <w:t xml:space="preserve">grande parte da produção agropecuária e da agroindústria do país, </w:t>
      </w:r>
      <w:r w:rsidR="00AC6D96" w:rsidRPr="00AC6D96">
        <w:t xml:space="preserve">a maior parte da população, bem como </w:t>
      </w:r>
      <w:r w:rsidR="00B01CF8">
        <w:t xml:space="preserve">cerca de </w:t>
      </w:r>
      <w:r w:rsidR="00AC6D96" w:rsidRPr="00AC6D96">
        <w:t>70% do PIB da bacia do Prata</w:t>
      </w:r>
      <w:r w:rsidR="00D7353B">
        <w:t>. Sugestão de nomes de especialistas:</w:t>
      </w:r>
    </w:p>
    <w:p w:rsidR="00D7353B" w:rsidRDefault="00D7353B" w:rsidP="00201CD3">
      <w:pPr>
        <w:spacing w:after="0" w:line="240" w:lineRule="auto"/>
        <w:jc w:val="both"/>
      </w:pPr>
      <w:r>
        <w:t xml:space="preserve">Antônio Nobre INPA/INPE - </w:t>
      </w:r>
      <w:r w:rsidRPr="00D7353B">
        <w:t>anobre27@gmail.com</w:t>
      </w:r>
    </w:p>
    <w:p w:rsidR="00D7353B" w:rsidRDefault="00D7353B" w:rsidP="00201CD3">
      <w:pPr>
        <w:spacing w:after="0" w:line="240" w:lineRule="auto"/>
        <w:jc w:val="both"/>
      </w:pPr>
      <w:r>
        <w:t>Dalton Valeriano – INPE</w:t>
      </w:r>
      <w:r w:rsidR="00157216">
        <w:t xml:space="preserve"> - </w:t>
      </w:r>
      <w:r w:rsidR="00157216" w:rsidRPr="00157216">
        <w:t>dalton@dsr.inpe.br</w:t>
      </w:r>
    </w:p>
    <w:p w:rsidR="00AC6D96" w:rsidRDefault="00D7353B" w:rsidP="00201CD3">
      <w:pPr>
        <w:spacing w:after="0" w:line="240" w:lineRule="auto"/>
        <w:jc w:val="both"/>
      </w:pPr>
      <w:proofErr w:type="spellStart"/>
      <w:r>
        <w:t>Gilvam</w:t>
      </w:r>
      <w:proofErr w:type="spellEnd"/>
      <w:r>
        <w:t xml:space="preserve"> Sampaio </w:t>
      </w:r>
      <w:r w:rsidR="00157216">
        <w:t>–</w:t>
      </w:r>
      <w:r>
        <w:t xml:space="preserve"> INPE</w:t>
      </w:r>
      <w:r w:rsidR="00157216">
        <w:t xml:space="preserve"> - </w:t>
      </w:r>
      <w:r w:rsidR="00157216" w:rsidRPr="00157216">
        <w:t>gilvan.sampaio@inpe.br</w:t>
      </w:r>
    </w:p>
    <w:p w:rsidR="00201CD3" w:rsidRDefault="00201CD3" w:rsidP="009D344D">
      <w:pPr>
        <w:jc w:val="both"/>
      </w:pPr>
    </w:p>
    <w:p w:rsidR="005E4E80" w:rsidRDefault="009D344D" w:rsidP="009D344D">
      <w:pPr>
        <w:jc w:val="both"/>
      </w:pPr>
      <w:bookmarkStart w:id="1" w:name="_Hlk505786351"/>
      <w:r w:rsidRPr="00201CD3">
        <w:t xml:space="preserve">- Bacia do Alto Paraguai </w:t>
      </w:r>
      <w:r w:rsidR="001A3965">
        <w:t xml:space="preserve">(BAP) </w:t>
      </w:r>
      <w:r w:rsidRPr="00201CD3">
        <w:t xml:space="preserve">– Mapa de Áreas de Restrição de Uso dos </w:t>
      </w:r>
      <w:r w:rsidR="00FB2708" w:rsidRPr="00201CD3">
        <w:t>R</w:t>
      </w:r>
      <w:r w:rsidRPr="00201CD3">
        <w:t>ecursos Hídricos</w:t>
      </w:r>
      <w:r w:rsidR="00F16EA9" w:rsidRPr="00201CD3">
        <w:t xml:space="preserve"> – avaliação técnica da CTCT</w:t>
      </w:r>
      <w:r w:rsidR="00201CD3">
        <w:t xml:space="preserve"> e emissão de parecer para o CNRH</w:t>
      </w:r>
      <w:r w:rsidR="00F16EA9" w:rsidRPr="00201CD3">
        <w:t xml:space="preserve"> </w:t>
      </w:r>
      <w:r w:rsidR="00201CD3">
        <w:t>– com base na Nota Técnica de especialistas da UNEMAT e UFMT (anexo)</w:t>
      </w:r>
      <w:r w:rsidR="00AD6493">
        <w:t>, com apresentação do Mapa pelos especialistas responsáveis em reunião da CTCT</w:t>
      </w:r>
      <w:r w:rsidR="00CE0162">
        <w:t>. Neste Mapa recomenda-se que as b</w:t>
      </w:r>
      <w:r w:rsidR="005E4E80" w:rsidRPr="005E4E80">
        <w:t xml:space="preserve">acias ainda livres de barragens na BAP se mantenham </w:t>
      </w:r>
      <w:r w:rsidR="00CE0162">
        <w:t xml:space="preserve">como </w:t>
      </w:r>
      <w:r w:rsidR="005E4E80" w:rsidRPr="005E4E80">
        <w:t>LIVRES DE BARRAGENS para garantir o princípio de Usos Múltiplos, em especial a produção pesqueira, j</w:t>
      </w:r>
      <w:r w:rsidR="00CE0162">
        <w:t>á</w:t>
      </w:r>
      <w:r w:rsidR="005E4E80" w:rsidRPr="005E4E80">
        <w:t xml:space="preserve"> que </w:t>
      </w:r>
      <w:r w:rsidR="00CE0162">
        <w:t>o</w:t>
      </w:r>
      <w:r w:rsidR="005E4E80" w:rsidRPr="005E4E80">
        <w:t xml:space="preserve"> aproveitamento do potencial hidrelétrico da bacia já se encontra na ordem de 50%</w:t>
      </w:r>
      <w:r w:rsidR="00CE0162">
        <w:t>. A saber:</w:t>
      </w:r>
      <w:r w:rsidR="005E4E80" w:rsidRPr="005E4E80">
        <w:t xml:space="preserve"> sub bacias dos rios </w:t>
      </w:r>
      <w:proofErr w:type="spellStart"/>
      <w:r w:rsidR="005E4E80" w:rsidRPr="005E4E80">
        <w:t>Septotuba</w:t>
      </w:r>
      <w:proofErr w:type="spellEnd"/>
      <w:r w:rsidR="005E4E80" w:rsidRPr="005E4E80">
        <w:t xml:space="preserve">, </w:t>
      </w:r>
      <w:proofErr w:type="spellStart"/>
      <w:r w:rsidR="005E4E80" w:rsidRPr="005E4E80">
        <w:t>Cabaçal</w:t>
      </w:r>
      <w:proofErr w:type="spellEnd"/>
      <w:r w:rsidR="005E4E80" w:rsidRPr="005E4E80">
        <w:t xml:space="preserve">, Alto Paraguai, </w:t>
      </w:r>
      <w:proofErr w:type="spellStart"/>
      <w:r w:rsidR="005E4E80" w:rsidRPr="005E4E80">
        <w:t>Jauquara</w:t>
      </w:r>
      <w:proofErr w:type="spellEnd"/>
      <w:r w:rsidR="005E4E80" w:rsidRPr="005E4E80">
        <w:t xml:space="preserve">, </w:t>
      </w:r>
      <w:proofErr w:type="spellStart"/>
      <w:r w:rsidR="005E4E80" w:rsidRPr="005E4E80">
        <w:t>Cuiabazinho</w:t>
      </w:r>
      <w:proofErr w:type="spellEnd"/>
      <w:r w:rsidR="005E4E80" w:rsidRPr="005E4E80">
        <w:t xml:space="preserve">, Cuiabá, Mutum, </w:t>
      </w:r>
      <w:proofErr w:type="spellStart"/>
      <w:r w:rsidR="005E4E80" w:rsidRPr="005E4E80">
        <w:t>Aricá</w:t>
      </w:r>
      <w:proofErr w:type="spellEnd"/>
      <w:r w:rsidR="005E4E80" w:rsidRPr="005E4E80">
        <w:t xml:space="preserve"> Mirim, </w:t>
      </w:r>
      <w:proofErr w:type="spellStart"/>
      <w:r w:rsidR="005E4E80" w:rsidRPr="005E4E80">
        <w:t>Aricá</w:t>
      </w:r>
      <w:proofErr w:type="spellEnd"/>
      <w:r w:rsidR="005E4E80" w:rsidRPr="005E4E80">
        <w:t xml:space="preserve"> Açu, Piquiri, Ariranhas (MT), bem como Taquari/Coxim, Negro, </w:t>
      </w:r>
      <w:proofErr w:type="spellStart"/>
      <w:r w:rsidR="005E4E80" w:rsidRPr="005E4E80">
        <w:t>Apa</w:t>
      </w:r>
      <w:proofErr w:type="spellEnd"/>
      <w:r w:rsidR="005E4E80" w:rsidRPr="005E4E80">
        <w:t xml:space="preserve">, </w:t>
      </w:r>
      <w:proofErr w:type="spellStart"/>
      <w:r w:rsidR="005E4E80" w:rsidRPr="005E4E80">
        <w:t>Aquiadauana</w:t>
      </w:r>
      <w:proofErr w:type="spellEnd"/>
      <w:r w:rsidR="005E4E80" w:rsidRPr="005E4E80">
        <w:t xml:space="preserve"> e Miranda (MS);</w:t>
      </w:r>
    </w:p>
    <w:bookmarkEnd w:id="1"/>
    <w:p w:rsidR="00AC6D96" w:rsidRDefault="009D344D" w:rsidP="00AC6D96">
      <w:pPr>
        <w:jc w:val="both"/>
      </w:pPr>
      <w:r>
        <w:t>- Desmatamento e compactação do solo do cerrado e a recarga dos aquíferos que alimentam as grandes bacias do São Francisco, Araguaia-Tocantins, Amazônica e do Prata</w:t>
      </w:r>
      <w:r w:rsidR="001A3965">
        <w:t xml:space="preserve">, por exemplo na </w:t>
      </w:r>
      <w:r>
        <w:t>Chapada dos Veadeiros</w:t>
      </w:r>
      <w:r w:rsidR="001A3965">
        <w:t xml:space="preserve">. </w:t>
      </w:r>
      <w:r w:rsidR="005E4E80">
        <w:t>A c</w:t>
      </w:r>
      <w:r w:rsidR="00AC6D96">
        <w:t>onversão do Cerrado em áreas agrícolas</w:t>
      </w:r>
      <w:r w:rsidR="005E4E80">
        <w:t xml:space="preserve"> cada vez mais</w:t>
      </w:r>
      <w:r w:rsidR="00AC6D96">
        <w:t xml:space="preserve"> </w:t>
      </w:r>
      <w:r w:rsidR="005E4E80">
        <w:t xml:space="preserve">promove a </w:t>
      </w:r>
      <w:r w:rsidR="00AC6D96">
        <w:t>contaminação de aquíferos por agrotóxicos e fertilizantes</w:t>
      </w:r>
      <w:r w:rsidR="005E4E80">
        <w:t xml:space="preserve"> e</w:t>
      </w:r>
      <w:r w:rsidR="00AC6D96">
        <w:t xml:space="preserve"> </w:t>
      </w:r>
      <w:r w:rsidR="005E4E80">
        <w:t xml:space="preserve">a </w:t>
      </w:r>
      <w:r w:rsidR="00AC6D96">
        <w:t>compactação do solo devido ao uso de máquinas pesadas, alterando a infiltração da água, além do aumento do potencial de erosão</w:t>
      </w:r>
      <w:r w:rsidR="001A3965">
        <w:t>. O</w:t>
      </w:r>
      <w:r w:rsidR="00AC6D96">
        <w:t xml:space="preserve"> impacto potencial nas áreas de recarga d</w:t>
      </w:r>
      <w:r w:rsidR="001A3965">
        <w:t>as mais</w:t>
      </w:r>
      <w:r w:rsidR="00AC6D96">
        <w:t xml:space="preserve"> importantes bacias hidrográficas nacionais</w:t>
      </w:r>
      <w:r w:rsidR="001A3965">
        <w:t xml:space="preserve"> demanda a necessidade premente de estudos de </w:t>
      </w:r>
      <w:r w:rsidR="001A3965">
        <w:t xml:space="preserve">modelagem </w:t>
      </w:r>
      <w:r w:rsidR="001A3965">
        <w:t>relacionando</w:t>
      </w:r>
      <w:r w:rsidR="001A3965">
        <w:t xml:space="preserve"> diminuição da área de infiltração x uso agrícola x capacidade de recarga dos aquíferos</w:t>
      </w:r>
      <w:r w:rsidR="001A3965">
        <w:t>. Q</w:t>
      </w:r>
      <w:r w:rsidR="00AC6D96">
        <w:t>ual o limite de uso para não afetar a recarga dos aquíferos???</w:t>
      </w:r>
    </w:p>
    <w:p w:rsidR="0019156F" w:rsidRDefault="0019156F" w:rsidP="009D344D">
      <w:pPr>
        <w:jc w:val="both"/>
      </w:pPr>
      <w:r>
        <w:t xml:space="preserve">- Implementação de métodos de redução de perdas </w:t>
      </w:r>
      <w:r w:rsidR="00F16EA9">
        <w:t xml:space="preserve">e alternativas </w:t>
      </w:r>
      <w:r w:rsidR="001A3965">
        <w:t xml:space="preserve">tecnológicas </w:t>
      </w:r>
      <w:r w:rsidR="00F16EA9">
        <w:t>para uso de pivô central;</w:t>
      </w:r>
    </w:p>
    <w:p w:rsidR="0019156F" w:rsidRDefault="0019156F" w:rsidP="009D344D">
      <w:pPr>
        <w:jc w:val="both"/>
      </w:pPr>
      <w:r>
        <w:t xml:space="preserve">- Recomendação/Moção da CTCT sobre a necessidade inclusive legal de se retomar os </w:t>
      </w:r>
      <w:r w:rsidR="00F16EA9">
        <w:t xml:space="preserve">fomentos de </w:t>
      </w:r>
      <w:proofErr w:type="gramStart"/>
      <w:r w:rsidR="00F16EA9">
        <w:t>C,T</w:t>
      </w:r>
      <w:proofErr w:type="gramEnd"/>
      <w:r w:rsidR="00F16EA9">
        <w:t>&amp;I pelo CT-Hidro;</w:t>
      </w:r>
    </w:p>
    <w:p w:rsidR="00F16EA9" w:rsidRDefault="00F16EA9" w:rsidP="009D344D">
      <w:pPr>
        <w:jc w:val="both"/>
      </w:pPr>
      <w:r>
        <w:t xml:space="preserve">- </w:t>
      </w:r>
      <w:r w:rsidR="00775706">
        <w:t xml:space="preserve">Avaliação sobre a implementação da </w:t>
      </w:r>
      <w:r>
        <w:t xml:space="preserve">Gestão Ecossistêmica de Recursos Hídricos </w:t>
      </w:r>
      <w:r w:rsidR="00C11F87">
        <w:t>–</w:t>
      </w:r>
      <w:r>
        <w:t xml:space="preserve"> </w:t>
      </w:r>
      <w:r w:rsidR="00C11F87">
        <w:t>Hidrograma Ecológico</w:t>
      </w:r>
      <w:r w:rsidR="001A3965">
        <w:t>, em especial em bacias hidrográficas ainda conservadas</w:t>
      </w:r>
      <w:r w:rsidR="00876A22">
        <w:t>;</w:t>
      </w:r>
    </w:p>
    <w:p w:rsidR="00775706" w:rsidRDefault="00775706" w:rsidP="009D344D">
      <w:pPr>
        <w:jc w:val="both"/>
      </w:pPr>
      <w:r>
        <w:t xml:space="preserve">- </w:t>
      </w:r>
      <w:r w:rsidR="001A3965">
        <w:t>Promoção do f</w:t>
      </w:r>
      <w:r>
        <w:t xml:space="preserve">omento privado </w:t>
      </w:r>
      <w:r w:rsidR="001A3965">
        <w:t>no sistema de</w:t>
      </w:r>
      <w:r>
        <w:t xml:space="preserve"> </w:t>
      </w:r>
      <w:proofErr w:type="gramStart"/>
      <w:r>
        <w:t>C,T</w:t>
      </w:r>
      <w:proofErr w:type="gramEnd"/>
      <w:r>
        <w:t>&amp;I</w:t>
      </w:r>
      <w:r w:rsidR="001A3965">
        <w:t xml:space="preserve"> para conservação e gestão de recursos hídricos</w:t>
      </w:r>
      <w:r w:rsidR="00876A22">
        <w:t>;</w:t>
      </w:r>
    </w:p>
    <w:p w:rsidR="00CE0162" w:rsidRDefault="00CE0162" w:rsidP="009D344D">
      <w:pPr>
        <w:jc w:val="both"/>
      </w:pPr>
    </w:p>
    <w:p w:rsidR="00CE0162" w:rsidRDefault="00CE0162" w:rsidP="009D344D">
      <w:pPr>
        <w:jc w:val="both"/>
      </w:pPr>
    </w:p>
    <w:p w:rsidR="00CE0162" w:rsidRDefault="00CE0162" w:rsidP="009D344D">
      <w:pPr>
        <w:jc w:val="both"/>
      </w:pPr>
    </w:p>
    <w:p w:rsidR="00D7353B" w:rsidRDefault="00C11F87" w:rsidP="009D344D">
      <w:pPr>
        <w:jc w:val="both"/>
      </w:pPr>
      <w:r>
        <w:t xml:space="preserve">- </w:t>
      </w:r>
      <w:r w:rsidR="001A3965">
        <w:t>Rever</w:t>
      </w:r>
      <w:r w:rsidR="00775706" w:rsidRPr="001A3965">
        <w:t xml:space="preserve"> os níveis permitidos de contaminação por agrotóxicos</w:t>
      </w:r>
      <w:r w:rsidR="00775706">
        <w:t xml:space="preserve"> e compostos orgânicos tóxicos na água de abastecimento para garantir a saúde ambiental dos mananciais e a </w:t>
      </w:r>
      <w:r w:rsidR="00B01CF8">
        <w:t xml:space="preserve">qualidade da </w:t>
      </w:r>
      <w:r w:rsidR="00775706">
        <w:t>oferta de água potável</w:t>
      </w:r>
      <w:r w:rsidR="00B01CF8">
        <w:t xml:space="preserve"> (Norma de Potabilidade do M</w:t>
      </w:r>
      <w:r w:rsidR="00B6535C">
        <w:t xml:space="preserve">inistério da </w:t>
      </w:r>
      <w:r w:rsidR="00B01CF8">
        <w:t>S</w:t>
      </w:r>
      <w:r w:rsidR="00B6535C">
        <w:t>aúde</w:t>
      </w:r>
      <w:r w:rsidR="00B01CF8">
        <w:t>)</w:t>
      </w:r>
      <w:r w:rsidR="00775706">
        <w:t>, bem como da qualidade da água para a produção de alimentos</w:t>
      </w:r>
      <w:r w:rsidR="00D7353B">
        <w:t>;</w:t>
      </w:r>
    </w:p>
    <w:p w:rsidR="00775706" w:rsidRDefault="00D7353B" w:rsidP="009D344D">
      <w:pPr>
        <w:jc w:val="both"/>
      </w:pPr>
      <w:r>
        <w:t xml:space="preserve">- </w:t>
      </w:r>
      <w:r w:rsidR="001A3965">
        <w:t>Definir r</w:t>
      </w:r>
      <w:r>
        <w:t>e</w:t>
      </w:r>
      <w:r w:rsidR="001A3965">
        <w:t>s</w:t>
      </w:r>
      <w:r>
        <w:t>ponsabilidade</w:t>
      </w:r>
      <w:r w:rsidR="001A3965">
        <w:t>s conjuntas</w:t>
      </w:r>
      <w:r>
        <w:t xml:space="preserve"> do CONAMA </w:t>
      </w:r>
      <w:r w:rsidR="001A3965">
        <w:t>e</w:t>
      </w:r>
      <w:r>
        <w:t xml:space="preserve"> CNRH</w:t>
      </w:r>
      <w:r w:rsidR="001A3965">
        <w:t xml:space="preserve"> na gestão da água em quantidade e qualidade</w:t>
      </w:r>
      <w:r w:rsidR="00AD6493">
        <w:t xml:space="preserve">. </w:t>
      </w:r>
      <w:r w:rsidR="00AD6493" w:rsidRPr="00AD6493">
        <w:t>Unir definitivamente as políticas nacionais de PNRH e a PNMA;</w:t>
      </w:r>
    </w:p>
    <w:p w:rsidR="00D7353B" w:rsidRDefault="00D7353B" w:rsidP="00D7353B">
      <w:pPr>
        <w:jc w:val="both"/>
      </w:pPr>
      <w:r>
        <w:t>- Transposição entre os rios São Francisco e Tocantins - Necessidade de avaliação da         capacidade hídrica do rio Tocantins... Trata-se também de um verdadeiro absurdo ecológico (na verdade a discussão teria que ser também no CONAMA...), pois vão se misturar espécies que se desenvolveram separadas por barreiras geográficas, causando desequilíbrio ecológico imensuráveis... com perda de biodiversidade, principalmente</w:t>
      </w:r>
      <w:r w:rsidR="00DF0C63">
        <w:t>. A</w:t>
      </w:r>
      <w:r>
        <w:t xml:space="preserve">inda mais que na BSF já </w:t>
      </w:r>
      <w:r w:rsidR="00DF0C63">
        <w:t>se implantou</w:t>
      </w:r>
      <w:r>
        <w:t xml:space="preserve"> espécies exóticas como a </w:t>
      </w:r>
      <w:proofErr w:type="spellStart"/>
      <w:r w:rsidR="00DF0C63">
        <w:t>T</w:t>
      </w:r>
      <w:r>
        <w:t>ilápia</w:t>
      </w:r>
      <w:proofErr w:type="spellEnd"/>
      <w:r>
        <w:t xml:space="preserve"> do Nilo...</w:t>
      </w:r>
    </w:p>
    <w:p w:rsidR="00971D9F" w:rsidRDefault="00775706" w:rsidP="009D344D">
      <w:pPr>
        <w:jc w:val="both"/>
      </w:pPr>
      <w:r>
        <w:t>-</w:t>
      </w:r>
      <w:r w:rsidR="008E17AF">
        <w:t xml:space="preserve"> </w:t>
      </w:r>
      <w:r w:rsidR="001A3965">
        <w:t xml:space="preserve">Produção de minutas de </w:t>
      </w:r>
      <w:r w:rsidR="008E17AF">
        <w:t xml:space="preserve">Resoluções </w:t>
      </w:r>
      <w:r w:rsidR="001A3965">
        <w:t>para o</w:t>
      </w:r>
      <w:r w:rsidR="008E17AF">
        <w:t xml:space="preserve"> CNRH </w:t>
      </w:r>
      <w:r w:rsidR="001A3965">
        <w:t xml:space="preserve">sobre temas que já contemplam embasamento científico e legal para acelerar a implantação de </w:t>
      </w:r>
      <w:r w:rsidR="008E17AF">
        <w:t>políticas p</w:t>
      </w:r>
      <w:r w:rsidR="00971D9F">
        <w:t>ú</w:t>
      </w:r>
      <w:r w:rsidR="008E17AF">
        <w:t>blicas</w:t>
      </w:r>
      <w:r w:rsidR="00971D9F">
        <w:t xml:space="preserve"> para a conservação dos mananciais</w:t>
      </w:r>
      <w:r w:rsidR="001A3965">
        <w:t xml:space="preserve"> e melhoria da gestão de recursos hídricos</w:t>
      </w:r>
      <w:r w:rsidR="00971D9F">
        <w:t>;</w:t>
      </w:r>
    </w:p>
    <w:p w:rsidR="003D41F9" w:rsidRDefault="007F0DA1" w:rsidP="009D344D">
      <w:pPr>
        <w:jc w:val="both"/>
      </w:pPr>
      <w:r>
        <w:t xml:space="preserve">- Contribuição do conhecimento das comunidades e povos tradicionais na gestão de RH em </w:t>
      </w:r>
      <w:r w:rsidR="001A3965">
        <w:t>es</w:t>
      </w:r>
      <w:r>
        <w:t xml:space="preserve">pecial em bacias hidrográficas ainda com conservação ambiental e </w:t>
      </w:r>
      <w:r w:rsidR="001A3965">
        <w:t xml:space="preserve">com </w:t>
      </w:r>
      <w:r>
        <w:t>uso por essas populações;</w:t>
      </w:r>
    </w:p>
    <w:p w:rsidR="007F0DA1" w:rsidRDefault="007F0DA1" w:rsidP="009D344D">
      <w:pPr>
        <w:jc w:val="both"/>
      </w:pPr>
      <w:r>
        <w:t xml:space="preserve">- </w:t>
      </w:r>
      <w:r w:rsidR="00342B32">
        <w:t>Mudar a categoria de uso da a</w:t>
      </w:r>
      <w:r>
        <w:t>quicultura como uso consuntivo</w:t>
      </w:r>
      <w:r w:rsidR="007907D6">
        <w:t xml:space="preserve"> e altamente impactante</w:t>
      </w:r>
      <w:r>
        <w:t>!</w:t>
      </w:r>
    </w:p>
    <w:p w:rsidR="001565AA" w:rsidRDefault="00055C91" w:rsidP="009D344D">
      <w:pPr>
        <w:jc w:val="both"/>
      </w:pPr>
      <w:r>
        <w:t xml:space="preserve">- </w:t>
      </w:r>
      <w:r w:rsidR="001565AA">
        <w:t xml:space="preserve">Determinação de Parâmetros Regionais de Qualidade de Água: </w:t>
      </w:r>
      <w:r>
        <w:t>Proposição de níveis máximos</w:t>
      </w:r>
      <w:r w:rsidR="006759D7">
        <w:t xml:space="preserve"> </w:t>
      </w:r>
      <w:r w:rsidR="00D077BE">
        <w:t xml:space="preserve">e mínimos </w:t>
      </w:r>
      <w:r>
        <w:t xml:space="preserve">permitidos em relação a parâmetros de qualidade de água </w:t>
      </w:r>
      <w:r w:rsidR="00AA7F5E">
        <w:t xml:space="preserve">por bacia hidrográfica em rios ainda conservados </w:t>
      </w:r>
      <w:r w:rsidR="001A3965">
        <w:t xml:space="preserve">e com boa base de dados </w:t>
      </w:r>
      <w:r w:rsidR="00AA7F5E">
        <w:t xml:space="preserve">para categorização </w:t>
      </w:r>
      <w:r w:rsidR="001A3965">
        <w:t>em classes de qualidade</w:t>
      </w:r>
      <w:r w:rsidR="00201CD3">
        <w:t>;</w:t>
      </w:r>
    </w:p>
    <w:p w:rsidR="006759D7" w:rsidRDefault="006759D7" w:rsidP="009D344D">
      <w:pPr>
        <w:jc w:val="both"/>
      </w:pPr>
      <w:r>
        <w:t xml:space="preserve">- Solicitação ao CNRH de determinação da realização do Plano de Recursos Hídricos da </w:t>
      </w:r>
      <w:r w:rsidR="00AD6493">
        <w:t xml:space="preserve">Bacia </w:t>
      </w:r>
      <w:r>
        <w:t xml:space="preserve">Hidrográfica do Tapajós com previsão de Criação do Comitê Federal da </w:t>
      </w:r>
      <w:r w:rsidR="00AD6493">
        <w:t>B</w:t>
      </w:r>
      <w:r>
        <w:t xml:space="preserve">acia do Tapajós, em especial relacionada à conservação das sub bacias dos rios </w:t>
      </w:r>
      <w:proofErr w:type="spellStart"/>
      <w:r>
        <w:t>Juruena</w:t>
      </w:r>
      <w:proofErr w:type="spellEnd"/>
      <w:r>
        <w:t xml:space="preserve"> e Tapajós como LIVRES DE BARRAGENS</w:t>
      </w:r>
      <w:r w:rsidR="00AC7850">
        <w:t>, visando garantir o direito Constitucional da</w:t>
      </w:r>
      <w:r w:rsidR="00AC7850" w:rsidRPr="00AC7850">
        <w:t xml:space="preserve"> conservação</w:t>
      </w:r>
      <w:r w:rsidR="00AC7850">
        <w:t xml:space="preserve"> ambiental e</w:t>
      </w:r>
      <w:r w:rsidR="00AC7850" w:rsidRPr="00AC7850">
        <w:t xml:space="preserve"> </w:t>
      </w:r>
      <w:r w:rsidR="00AD6493">
        <w:t>os</w:t>
      </w:r>
      <w:r w:rsidR="00AC7850" w:rsidRPr="00AC7850">
        <w:t xml:space="preserve"> usos e modos de vida d</w:t>
      </w:r>
      <w:r w:rsidR="00AD6493">
        <w:t>os</w:t>
      </w:r>
      <w:r w:rsidR="00AC7850" w:rsidRPr="00AC7850">
        <w:t xml:space="preserve"> </w:t>
      </w:r>
      <w:r w:rsidR="00AD6493">
        <w:t xml:space="preserve">seus </w:t>
      </w:r>
      <w:r w:rsidR="00AC7850" w:rsidRPr="00AC7850">
        <w:t>povos e comunidades tradicionais;</w:t>
      </w:r>
      <w:r>
        <w:t xml:space="preserve"> </w:t>
      </w:r>
    </w:p>
    <w:p w:rsidR="00AC7850" w:rsidRDefault="00AC7850" w:rsidP="009D344D">
      <w:pPr>
        <w:jc w:val="both"/>
      </w:pPr>
      <w:r>
        <w:t xml:space="preserve">- Rio Araguaia como LIVRE DE BARRAGENS devido à </w:t>
      </w:r>
      <w:r w:rsidR="00AD6493">
        <w:t>existência de espécie</w:t>
      </w:r>
      <w:r>
        <w:t xml:space="preserve"> endêmica de boto, </w:t>
      </w:r>
      <w:bookmarkStart w:id="2" w:name="_Hlk505783435"/>
      <w:r>
        <w:t>conservação d</w:t>
      </w:r>
      <w:r w:rsidR="00AD6493">
        <w:t>os</w:t>
      </w:r>
      <w:r>
        <w:t xml:space="preserve"> usos </w:t>
      </w:r>
      <w:r w:rsidR="00AD6493">
        <w:t>múltiplos e dos</w:t>
      </w:r>
      <w:r>
        <w:t xml:space="preserve"> modos de vida de </w:t>
      </w:r>
      <w:r w:rsidR="00AD6493">
        <w:t xml:space="preserve">seus </w:t>
      </w:r>
      <w:r>
        <w:t xml:space="preserve">povos e comunidades tradicionais; </w:t>
      </w:r>
    </w:p>
    <w:p w:rsidR="00AC7850" w:rsidRDefault="00AC7850" w:rsidP="009D344D">
      <w:pPr>
        <w:jc w:val="both"/>
      </w:pPr>
      <w:r>
        <w:t xml:space="preserve">- Necessidade de conservação </w:t>
      </w:r>
      <w:proofErr w:type="spellStart"/>
      <w:r>
        <w:t>hidro-ecológica</w:t>
      </w:r>
      <w:proofErr w:type="spellEnd"/>
      <w:r>
        <w:t xml:space="preserve"> de rios para a conservação ambiental, da biodiversidade e da </w:t>
      </w:r>
      <w:proofErr w:type="spellStart"/>
      <w:r>
        <w:t>sociodiversidade</w:t>
      </w:r>
      <w:proofErr w:type="spellEnd"/>
      <w:r>
        <w:t xml:space="preserve"> do país, respeitando a ciência de ponta e as políticas públicas nacionais e internacionais optando politicamente por fomentar outras formas de geração de e</w:t>
      </w:r>
      <w:r w:rsidR="00AD6493">
        <w:t>n</w:t>
      </w:r>
      <w:r>
        <w:t>ergia como eólica, de marés e solar. Devemos priorizar a eficiência ao invés do desperdício!</w:t>
      </w:r>
    </w:p>
    <w:p w:rsidR="00AC7850" w:rsidRDefault="00AC7850" w:rsidP="009D344D">
      <w:pPr>
        <w:jc w:val="both"/>
      </w:pPr>
      <w:r>
        <w:t>- Estabelecer critérios para a definição de outorga em rios</w:t>
      </w:r>
      <w:r w:rsidR="008C2C27">
        <w:t>/trechos de rios em que a</w:t>
      </w:r>
      <w:r>
        <w:t xml:space="preserve"> </w:t>
      </w:r>
      <w:r w:rsidR="008C2C27">
        <w:t>prioridade seja</w:t>
      </w:r>
      <w:r>
        <w:t xml:space="preserve"> abastecimento humano</w:t>
      </w:r>
      <w:r w:rsidR="00AD6493">
        <w:t xml:space="preserve"> e conservação de modos de vida de povos e comunidades tradicionais</w:t>
      </w:r>
      <w:r>
        <w:t>;</w:t>
      </w:r>
    </w:p>
    <w:p w:rsidR="00CE0162" w:rsidRDefault="00CE0162" w:rsidP="009D344D">
      <w:pPr>
        <w:jc w:val="both"/>
      </w:pPr>
    </w:p>
    <w:p w:rsidR="00CE0162" w:rsidRDefault="00CE0162" w:rsidP="009D344D">
      <w:pPr>
        <w:jc w:val="both"/>
      </w:pPr>
    </w:p>
    <w:p w:rsidR="00CE0162" w:rsidRDefault="00CE0162" w:rsidP="009D344D">
      <w:pPr>
        <w:jc w:val="both"/>
      </w:pPr>
    </w:p>
    <w:p w:rsidR="008C2C27" w:rsidRDefault="008C2C27" w:rsidP="009D344D">
      <w:pPr>
        <w:jc w:val="both"/>
      </w:pPr>
      <w:r>
        <w:t>-</w:t>
      </w:r>
      <w:r w:rsidR="00B01CF8" w:rsidRPr="00B01CF8">
        <w:t xml:space="preserve"> Estabelecer critérios</w:t>
      </w:r>
      <w:r w:rsidR="00B01CF8">
        <w:t xml:space="preserve"> de definição e uso sustentável das áreas de recarga de aquíferos, com restrições ao uso do solo e da água; implantar devidamente o conceito de </w:t>
      </w:r>
      <w:proofErr w:type="spellStart"/>
      <w:r w:rsidR="00B01CF8">
        <w:t>APAs</w:t>
      </w:r>
      <w:proofErr w:type="spellEnd"/>
      <w:r w:rsidR="00B01CF8">
        <w:t xml:space="preserve"> como </w:t>
      </w:r>
      <w:proofErr w:type="spellStart"/>
      <w:r w:rsidR="00B01CF8">
        <w:t>UCs</w:t>
      </w:r>
      <w:proofErr w:type="spellEnd"/>
      <w:r w:rsidR="00B01CF8">
        <w:t xml:space="preserve"> de uso sustentável</w:t>
      </w:r>
      <w:r>
        <w:t>;</w:t>
      </w:r>
    </w:p>
    <w:p w:rsidR="004C0F99" w:rsidRDefault="004C0F99" w:rsidP="009D344D">
      <w:pPr>
        <w:jc w:val="both"/>
      </w:pPr>
      <w:r>
        <w:t>- Estabelecer critérios de improbidade administrativa para gestor público que não cumprir ao estabelecido na legislação pertinente e no que há de mais atualizado e d</w:t>
      </w:r>
      <w:r w:rsidR="00754F89">
        <w:t>e</w:t>
      </w:r>
      <w:r>
        <w:t xml:space="preserve"> consenso</w:t>
      </w:r>
      <w:r w:rsidR="00754F89">
        <w:t xml:space="preserve"> internacional</w:t>
      </w:r>
      <w:r w:rsidR="00AD6493">
        <w:t xml:space="preserve"> quanto aos conhecimentos técnico-científicos</w:t>
      </w:r>
      <w:r w:rsidR="00754F89">
        <w:t xml:space="preserve">, optando </w:t>
      </w:r>
      <w:r>
        <w:t xml:space="preserve">por </w:t>
      </w:r>
      <w:r w:rsidR="00754F89">
        <w:t>decisõ</w:t>
      </w:r>
      <w:r>
        <w:t xml:space="preserve">es meramente partidárias... </w:t>
      </w:r>
      <w:r w:rsidR="00AD6493">
        <w:t>P</w:t>
      </w:r>
      <w:r>
        <w:t>olíticas de estado x políticas de governo</w:t>
      </w:r>
      <w:r w:rsidR="00754F89">
        <w:t>...</w:t>
      </w:r>
      <w:r w:rsidR="00AD6493" w:rsidRPr="00AD6493">
        <w:t xml:space="preserve"> Decisões políticas x decisões técnicas</w:t>
      </w:r>
      <w:r w:rsidR="00AD6493">
        <w:t>...</w:t>
      </w:r>
      <w:r w:rsidR="00AD6493" w:rsidRPr="00AD6493">
        <w:t xml:space="preserve"> </w:t>
      </w:r>
      <w:r w:rsidR="00AD6493">
        <w:t>C</w:t>
      </w:r>
      <w:r w:rsidR="00AD6493" w:rsidRPr="00AD6493">
        <w:t>omo coibir a possibilidade de tomada de decisões sem embasamento técnico</w:t>
      </w:r>
      <w:r w:rsidR="00AD6493">
        <w:t xml:space="preserve"> na gestão de recursos hídricos</w:t>
      </w:r>
      <w:r w:rsidR="00AD6493" w:rsidRPr="00AD6493">
        <w:t>??</w:t>
      </w:r>
    </w:p>
    <w:p w:rsidR="004C0F99" w:rsidRDefault="004C0F99" w:rsidP="009D344D">
      <w:pPr>
        <w:jc w:val="both"/>
      </w:pPr>
      <w:r>
        <w:t>- Ética no uso da água</w:t>
      </w:r>
      <w:r w:rsidR="00AD6493">
        <w:t xml:space="preserve"> (UNESCO 2001)</w:t>
      </w:r>
      <w:r>
        <w:t xml:space="preserve"> deve</w:t>
      </w:r>
      <w:r w:rsidR="00AD6493">
        <w:t>ria</w:t>
      </w:r>
      <w:r>
        <w:t xml:space="preserve"> ser disciplina obrigatória em todos os cursos de engenharias, incluindo florestal, arquitetura, agronomia, geologia, geografia, veterinária, zootecnia... </w:t>
      </w:r>
    </w:p>
    <w:p w:rsidR="004C0F99" w:rsidRDefault="004C0F99" w:rsidP="009D344D">
      <w:pPr>
        <w:jc w:val="both"/>
      </w:pPr>
      <w:r>
        <w:t>- Rio Doce – decisões sobre soluções prioritárias a serem implementadas com base no conhecimento acadêmico</w:t>
      </w:r>
      <w:r w:rsidR="00AD6493">
        <w:t>, tradicional</w:t>
      </w:r>
      <w:r>
        <w:t xml:space="preserve"> e opinião da sociedade civil;</w:t>
      </w:r>
    </w:p>
    <w:p w:rsidR="00AD6493" w:rsidRDefault="00AD6493" w:rsidP="009D344D">
      <w:pPr>
        <w:jc w:val="both"/>
      </w:pPr>
      <w:r>
        <w:t xml:space="preserve">- Demandar aos órgãos competentes amplo estudo técnico em nível federal sobre quantidade e qualidade das águas subterrâneas do país; </w:t>
      </w:r>
    </w:p>
    <w:bookmarkEnd w:id="2"/>
    <w:p w:rsidR="00201CD3" w:rsidRDefault="00201CD3" w:rsidP="009D344D">
      <w:pPr>
        <w:jc w:val="both"/>
      </w:pPr>
      <w:r>
        <w:t>- Discussão e definição do conceito de Recursos Hídricos com base no que foi proposto na Recomendação CNZU No. 7/2015</w:t>
      </w:r>
      <w:r w:rsidR="00466701">
        <w:t xml:space="preserve"> (anexo)</w:t>
      </w:r>
      <w:r>
        <w:t>:</w:t>
      </w:r>
    </w:p>
    <w:p w:rsidR="00201CD3" w:rsidRDefault="00201CD3" w:rsidP="009D344D">
      <w:pPr>
        <w:jc w:val="both"/>
      </w:pPr>
      <w:r w:rsidRPr="00201CD3">
        <w:rPr>
          <w:noProof/>
        </w:rPr>
        <w:drawing>
          <wp:inline distT="0" distB="0" distL="0" distR="0">
            <wp:extent cx="5400040" cy="1519165"/>
            <wp:effectExtent l="0" t="0" r="0" b="508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51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CD3" w:rsidRDefault="00201CD3" w:rsidP="009D344D">
      <w:pPr>
        <w:jc w:val="both"/>
      </w:pPr>
    </w:p>
    <w:p w:rsidR="00201CD3" w:rsidRDefault="00B6535C" w:rsidP="009D344D">
      <w:pPr>
        <w:jc w:val="both"/>
      </w:pPr>
      <w:r>
        <w:t>Agradecendo a atenção de Va. Sa., aguardamos a confirmação do agendamento destes temas nas pautas desta Câmara Técnica, acatando a indicação das prioridades.</w:t>
      </w:r>
    </w:p>
    <w:p w:rsidR="00B6535C" w:rsidRDefault="00B6535C" w:rsidP="009D344D">
      <w:pPr>
        <w:jc w:val="both"/>
      </w:pPr>
    </w:p>
    <w:p w:rsidR="00B6535C" w:rsidRDefault="00B6535C" w:rsidP="009D344D">
      <w:pPr>
        <w:jc w:val="both"/>
      </w:pPr>
      <w:r>
        <w:t>__________________________</w:t>
      </w:r>
    </w:p>
    <w:p w:rsidR="00B6535C" w:rsidRDefault="00B6535C" w:rsidP="009D344D">
      <w:pPr>
        <w:jc w:val="both"/>
      </w:pPr>
      <w:r>
        <w:t>FONASC</w:t>
      </w:r>
    </w:p>
    <w:p w:rsidR="00775706" w:rsidRDefault="00775706" w:rsidP="009D344D">
      <w:pPr>
        <w:jc w:val="both"/>
      </w:pPr>
      <w:bookmarkStart w:id="3" w:name="_GoBack"/>
      <w:bookmarkEnd w:id="3"/>
    </w:p>
    <w:p w:rsidR="00C11F87" w:rsidRDefault="00C11F87" w:rsidP="009D344D">
      <w:pPr>
        <w:jc w:val="both"/>
      </w:pPr>
    </w:p>
    <w:p w:rsidR="00C11F87" w:rsidRDefault="00C11F87" w:rsidP="009D344D">
      <w:pPr>
        <w:jc w:val="both"/>
      </w:pPr>
    </w:p>
    <w:sectPr w:rsidR="00C11F8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576" w:rsidRDefault="00505576" w:rsidP="00D7205D">
      <w:pPr>
        <w:spacing w:after="0" w:line="240" w:lineRule="auto"/>
      </w:pPr>
      <w:r>
        <w:separator/>
      </w:r>
    </w:p>
  </w:endnote>
  <w:endnote w:type="continuationSeparator" w:id="0">
    <w:p w:rsidR="00505576" w:rsidRDefault="00505576" w:rsidP="00D72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576" w:rsidRDefault="00505576" w:rsidP="00D7205D">
      <w:pPr>
        <w:spacing w:after="0" w:line="240" w:lineRule="auto"/>
      </w:pPr>
      <w:r>
        <w:separator/>
      </w:r>
    </w:p>
  </w:footnote>
  <w:footnote w:type="continuationSeparator" w:id="0">
    <w:p w:rsidR="00505576" w:rsidRDefault="00505576" w:rsidP="00D72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5AA" w:rsidRDefault="001565AA" w:rsidP="00D7205D">
    <w:pPr>
      <w:pStyle w:val="Cabealho"/>
      <w:jc w:val="center"/>
    </w:pPr>
    <w:r>
      <w:rPr>
        <w:noProof/>
        <w:sz w:val="16"/>
        <w:szCs w:val="16"/>
        <w:lang w:eastAsia="pt-BR"/>
      </w:rPr>
      <w:drawing>
        <wp:inline distT="0" distB="0" distL="0" distR="0" wp14:anchorId="3F7B0022" wp14:editId="6CC0F569">
          <wp:extent cx="2588045" cy="670280"/>
          <wp:effectExtent l="0" t="0" r="317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7484" cy="680494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87531"/>
    <w:multiLevelType w:val="hybridMultilevel"/>
    <w:tmpl w:val="B51A4E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02D67"/>
    <w:multiLevelType w:val="hybridMultilevel"/>
    <w:tmpl w:val="76A89DCE"/>
    <w:lvl w:ilvl="0" w:tplc="FC804C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05D"/>
    <w:rsid w:val="000128D2"/>
    <w:rsid w:val="00035D48"/>
    <w:rsid w:val="000470A5"/>
    <w:rsid w:val="0004733A"/>
    <w:rsid w:val="00055C91"/>
    <w:rsid w:val="00070632"/>
    <w:rsid w:val="00086227"/>
    <w:rsid w:val="000901EE"/>
    <w:rsid w:val="000964D7"/>
    <w:rsid w:val="000B7056"/>
    <w:rsid w:val="000F45C2"/>
    <w:rsid w:val="0012004D"/>
    <w:rsid w:val="00137A79"/>
    <w:rsid w:val="001405EC"/>
    <w:rsid w:val="001565AA"/>
    <w:rsid w:val="00157216"/>
    <w:rsid w:val="00171B77"/>
    <w:rsid w:val="0017553B"/>
    <w:rsid w:val="00175A37"/>
    <w:rsid w:val="0019156F"/>
    <w:rsid w:val="001A1510"/>
    <w:rsid w:val="001A1B7C"/>
    <w:rsid w:val="001A22DA"/>
    <w:rsid w:val="001A2E74"/>
    <w:rsid w:val="001A3965"/>
    <w:rsid w:val="001A45E1"/>
    <w:rsid w:val="001E18C4"/>
    <w:rsid w:val="001F4900"/>
    <w:rsid w:val="00201CD3"/>
    <w:rsid w:val="00216E04"/>
    <w:rsid w:val="00242DC4"/>
    <w:rsid w:val="00246693"/>
    <w:rsid w:val="0027649D"/>
    <w:rsid w:val="002A58ED"/>
    <w:rsid w:val="002A714B"/>
    <w:rsid w:val="00331448"/>
    <w:rsid w:val="003357EB"/>
    <w:rsid w:val="00336E90"/>
    <w:rsid w:val="00336F4A"/>
    <w:rsid w:val="003413B3"/>
    <w:rsid w:val="00342B32"/>
    <w:rsid w:val="00344AD7"/>
    <w:rsid w:val="00393CA1"/>
    <w:rsid w:val="003B1BA5"/>
    <w:rsid w:val="003C46E4"/>
    <w:rsid w:val="003D41F9"/>
    <w:rsid w:val="003E2D86"/>
    <w:rsid w:val="003F584F"/>
    <w:rsid w:val="00413054"/>
    <w:rsid w:val="004266B0"/>
    <w:rsid w:val="00441D0D"/>
    <w:rsid w:val="00443D34"/>
    <w:rsid w:val="00457D6B"/>
    <w:rsid w:val="004611D3"/>
    <w:rsid w:val="00466701"/>
    <w:rsid w:val="00475104"/>
    <w:rsid w:val="004908CA"/>
    <w:rsid w:val="004C0F99"/>
    <w:rsid w:val="004E2FCE"/>
    <w:rsid w:val="004E56C1"/>
    <w:rsid w:val="00505576"/>
    <w:rsid w:val="005529DF"/>
    <w:rsid w:val="00560C05"/>
    <w:rsid w:val="00563741"/>
    <w:rsid w:val="00567503"/>
    <w:rsid w:val="00574405"/>
    <w:rsid w:val="005A7C33"/>
    <w:rsid w:val="005C0F7E"/>
    <w:rsid w:val="005C11D8"/>
    <w:rsid w:val="005E4E80"/>
    <w:rsid w:val="005F01C6"/>
    <w:rsid w:val="005F2FDA"/>
    <w:rsid w:val="005F5D8A"/>
    <w:rsid w:val="006019CF"/>
    <w:rsid w:val="00631983"/>
    <w:rsid w:val="00645809"/>
    <w:rsid w:val="006468B4"/>
    <w:rsid w:val="006759D7"/>
    <w:rsid w:val="006A55A9"/>
    <w:rsid w:val="006A7104"/>
    <w:rsid w:val="006B20F6"/>
    <w:rsid w:val="006C7FCA"/>
    <w:rsid w:val="006D023D"/>
    <w:rsid w:val="00701DF0"/>
    <w:rsid w:val="0070358B"/>
    <w:rsid w:val="00704FC4"/>
    <w:rsid w:val="00715840"/>
    <w:rsid w:val="007277C0"/>
    <w:rsid w:val="007344A1"/>
    <w:rsid w:val="00742EC6"/>
    <w:rsid w:val="0074547B"/>
    <w:rsid w:val="00752469"/>
    <w:rsid w:val="00752728"/>
    <w:rsid w:val="00754F89"/>
    <w:rsid w:val="0076086E"/>
    <w:rsid w:val="007708CD"/>
    <w:rsid w:val="00775706"/>
    <w:rsid w:val="0078322F"/>
    <w:rsid w:val="007907D6"/>
    <w:rsid w:val="007A70DD"/>
    <w:rsid w:val="007B53A6"/>
    <w:rsid w:val="007C070D"/>
    <w:rsid w:val="007C57A5"/>
    <w:rsid w:val="007F0DA1"/>
    <w:rsid w:val="007F3B64"/>
    <w:rsid w:val="007F5FFE"/>
    <w:rsid w:val="00834E02"/>
    <w:rsid w:val="0086125E"/>
    <w:rsid w:val="00876A22"/>
    <w:rsid w:val="00882456"/>
    <w:rsid w:val="00893B4B"/>
    <w:rsid w:val="008C2C27"/>
    <w:rsid w:val="008C2CE1"/>
    <w:rsid w:val="008E17AF"/>
    <w:rsid w:val="008E4B46"/>
    <w:rsid w:val="00906D20"/>
    <w:rsid w:val="00925623"/>
    <w:rsid w:val="00932203"/>
    <w:rsid w:val="009332E1"/>
    <w:rsid w:val="00962B7E"/>
    <w:rsid w:val="00971D9F"/>
    <w:rsid w:val="00972E69"/>
    <w:rsid w:val="00997386"/>
    <w:rsid w:val="009B4809"/>
    <w:rsid w:val="009B7FC3"/>
    <w:rsid w:val="009D344D"/>
    <w:rsid w:val="009D3F5A"/>
    <w:rsid w:val="009E0AF1"/>
    <w:rsid w:val="00A048B1"/>
    <w:rsid w:val="00A10D0D"/>
    <w:rsid w:val="00A139E7"/>
    <w:rsid w:val="00A14069"/>
    <w:rsid w:val="00A27ABF"/>
    <w:rsid w:val="00A40889"/>
    <w:rsid w:val="00A516F5"/>
    <w:rsid w:val="00A55EB4"/>
    <w:rsid w:val="00A660A2"/>
    <w:rsid w:val="00A71F00"/>
    <w:rsid w:val="00AA7105"/>
    <w:rsid w:val="00AA7C10"/>
    <w:rsid w:val="00AA7F5E"/>
    <w:rsid w:val="00AC03ED"/>
    <w:rsid w:val="00AC6D96"/>
    <w:rsid w:val="00AC7850"/>
    <w:rsid w:val="00AD6493"/>
    <w:rsid w:val="00B01CF8"/>
    <w:rsid w:val="00B07339"/>
    <w:rsid w:val="00B34109"/>
    <w:rsid w:val="00B53995"/>
    <w:rsid w:val="00B613EA"/>
    <w:rsid w:val="00B6535C"/>
    <w:rsid w:val="00B71E91"/>
    <w:rsid w:val="00BA7FA6"/>
    <w:rsid w:val="00BC5146"/>
    <w:rsid w:val="00BD6357"/>
    <w:rsid w:val="00BE5712"/>
    <w:rsid w:val="00C01AF6"/>
    <w:rsid w:val="00C11F87"/>
    <w:rsid w:val="00C315B8"/>
    <w:rsid w:val="00C352C7"/>
    <w:rsid w:val="00C60108"/>
    <w:rsid w:val="00C751B6"/>
    <w:rsid w:val="00C77F11"/>
    <w:rsid w:val="00CB440B"/>
    <w:rsid w:val="00CC4BBB"/>
    <w:rsid w:val="00CD2135"/>
    <w:rsid w:val="00CD4386"/>
    <w:rsid w:val="00CE0162"/>
    <w:rsid w:val="00CF11DC"/>
    <w:rsid w:val="00D077BE"/>
    <w:rsid w:val="00D11A8C"/>
    <w:rsid w:val="00D21EB7"/>
    <w:rsid w:val="00D54130"/>
    <w:rsid w:val="00D63EE0"/>
    <w:rsid w:val="00D67410"/>
    <w:rsid w:val="00D7205D"/>
    <w:rsid w:val="00D7353B"/>
    <w:rsid w:val="00D86902"/>
    <w:rsid w:val="00D910E3"/>
    <w:rsid w:val="00D95317"/>
    <w:rsid w:val="00DB1DC1"/>
    <w:rsid w:val="00DB4016"/>
    <w:rsid w:val="00DF0C63"/>
    <w:rsid w:val="00E62D01"/>
    <w:rsid w:val="00E70AEB"/>
    <w:rsid w:val="00E713B0"/>
    <w:rsid w:val="00E830C3"/>
    <w:rsid w:val="00E90295"/>
    <w:rsid w:val="00EA499D"/>
    <w:rsid w:val="00EC1360"/>
    <w:rsid w:val="00EC7D4C"/>
    <w:rsid w:val="00EF5EAE"/>
    <w:rsid w:val="00F04536"/>
    <w:rsid w:val="00F16EA9"/>
    <w:rsid w:val="00F2074D"/>
    <w:rsid w:val="00F20E6C"/>
    <w:rsid w:val="00F92ED2"/>
    <w:rsid w:val="00FB2708"/>
    <w:rsid w:val="00FE1792"/>
    <w:rsid w:val="00FF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5AAE9"/>
  <w15:chartTrackingRefBased/>
  <w15:docId w15:val="{D399B31D-B2A1-4D84-AD67-6CFC62C4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2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205D"/>
  </w:style>
  <w:style w:type="paragraph" w:styleId="Rodap">
    <w:name w:val="footer"/>
    <w:basedOn w:val="Normal"/>
    <w:link w:val="RodapChar"/>
    <w:uiPriority w:val="99"/>
    <w:unhideWhenUsed/>
    <w:rsid w:val="00D72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205D"/>
  </w:style>
  <w:style w:type="paragraph" w:styleId="PargrafodaLista">
    <w:name w:val="List Paragraph"/>
    <w:basedOn w:val="Normal"/>
    <w:uiPriority w:val="34"/>
    <w:qFormat/>
    <w:rsid w:val="0078322F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41D0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41D0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41D0D"/>
    <w:rPr>
      <w:vertAlign w:val="superscript"/>
    </w:rPr>
  </w:style>
  <w:style w:type="table" w:styleId="ListaMdia2-nfase1">
    <w:name w:val="Medium List 2 Accent 1"/>
    <w:basedOn w:val="Tabelanormal"/>
    <w:uiPriority w:val="66"/>
    <w:rsid w:val="004611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t-BR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elacomgrade">
    <w:name w:val="Table Grid"/>
    <w:basedOn w:val="Tabelanormal"/>
    <w:uiPriority w:val="39"/>
    <w:rsid w:val="001A1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70358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56C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E56C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9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A29DD-F94D-434A-AD83-81B49843E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1555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2018-02-07T18:06:00Z</dcterms:created>
  <dcterms:modified xsi:type="dcterms:W3CDTF">2018-02-08T13:11:00Z</dcterms:modified>
</cp:coreProperties>
</file>